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77ACF" w14:textId="6553A346" w:rsidR="00040634" w:rsidRPr="00EE62B6" w:rsidRDefault="00BD0316">
      <w:pPr>
        <w:pStyle w:val="Titel"/>
        <w:spacing w:after="300"/>
        <w:rPr>
          <w:sz w:val="36"/>
          <w:szCs w:val="36"/>
          <w:lang w:val="en-US"/>
        </w:rPr>
      </w:pPr>
      <w:r w:rsidRPr="00EE62B6">
        <w:rPr>
          <w:b/>
          <w:bCs/>
          <w:sz w:val="36"/>
          <w:szCs w:val="36"/>
          <w:lang w:val="en-US"/>
        </w:rPr>
        <w:t>The Golden Ratio as Organizing Principle of the Economy</w:t>
      </w:r>
    </w:p>
    <w:p w14:paraId="2B408620" w14:textId="4E11B0C4" w:rsidR="0064053B" w:rsidRDefault="00F37FE4" w:rsidP="00D53B40">
      <w:pPr>
        <w:spacing w:after="60"/>
        <w:rPr>
          <w:b/>
          <w:bCs/>
          <w:sz w:val="24"/>
          <w:szCs w:val="24"/>
        </w:rPr>
      </w:pPr>
      <w:r>
        <w:rPr>
          <w:b/>
          <w:bCs/>
          <w:sz w:val="24"/>
          <w:szCs w:val="24"/>
        </w:rPr>
        <w:t>Bert de Groot &amp; Rene Segers           version 15 September 2026</w:t>
      </w:r>
    </w:p>
    <w:p w14:paraId="57F15B82" w14:textId="77777777" w:rsidR="00D53B40" w:rsidRPr="00D53B40" w:rsidRDefault="00D53B40" w:rsidP="00D53B40">
      <w:pPr>
        <w:spacing w:after="60"/>
      </w:pPr>
    </w:p>
    <w:p w14:paraId="48257571" w14:textId="5D4B426F" w:rsidR="00040634" w:rsidRDefault="00713A59">
      <w:pPr>
        <w:spacing w:before="100" w:after="160"/>
      </w:pPr>
      <w:r>
        <w:rPr>
          <w:b/>
          <w:bCs/>
        </w:rPr>
        <w:t>HIGHLIGHTS</w:t>
      </w:r>
    </w:p>
    <w:p w14:paraId="4DE7872A" w14:textId="3899A5EB" w:rsidR="00B7730E" w:rsidRPr="00EE62B6" w:rsidRDefault="00B7730E" w:rsidP="00B7730E">
      <w:pPr>
        <w:pStyle w:val="Lijstalinea"/>
        <w:numPr>
          <w:ilvl w:val="0"/>
          <w:numId w:val="2"/>
        </w:numPr>
        <w:spacing w:after="120"/>
        <w:jc w:val="both"/>
        <w:rPr>
          <w:lang w:val="en-US"/>
        </w:rPr>
      </w:pPr>
      <w:r w:rsidRPr="00EE62B6">
        <w:rPr>
          <w:lang w:val="en-US"/>
        </w:rPr>
        <w:t xml:space="preserve">In this article, we demonstrate both empirically and theoretically the existence of the golden ratio, </w:t>
      </w:r>
      <w:r>
        <w:t>φ</w:t>
      </w:r>
      <w:r w:rsidRPr="00EE62B6">
        <w:rPr>
          <w:lang w:val="en-US"/>
        </w:rPr>
        <w:t>, as an organizing principle of the wave-like movements in the economy.</w:t>
      </w:r>
    </w:p>
    <w:p w14:paraId="60174132" w14:textId="0B863B3F" w:rsidR="00040634" w:rsidRPr="00EE62B6" w:rsidRDefault="00B7730E">
      <w:pPr>
        <w:pStyle w:val="Lijstalinea"/>
        <w:numPr>
          <w:ilvl w:val="0"/>
          <w:numId w:val="2"/>
        </w:numPr>
        <w:spacing w:after="120"/>
        <w:jc w:val="both"/>
        <w:rPr>
          <w:lang w:val="en-US"/>
        </w:rPr>
      </w:pPr>
      <w:r w:rsidRPr="00EE62B6">
        <w:rPr>
          <w:lang w:val="en-US"/>
        </w:rPr>
        <w:t>We introduce a dynamic mathematical model for investment behavior, inspired by Austrian business cycle theory.</w:t>
      </w:r>
    </w:p>
    <w:p w14:paraId="772D1080" w14:textId="0CBA493D" w:rsidR="00040634" w:rsidRPr="00EE62B6" w:rsidRDefault="00713A59">
      <w:pPr>
        <w:pStyle w:val="Lijstalinea"/>
        <w:numPr>
          <w:ilvl w:val="0"/>
          <w:numId w:val="2"/>
        </w:numPr>
        <w:spacing w:after="120"/>
        <w:jc w:val="both"/>
        <w:rPr>
          <w:lang w:val="en-US"/>
        </w:rPr>
      </w:pPr>
      <w:r w:rsidRPr="00EE62B6">
        <w:rPr>
          <w:lang w:val="en-US"/>
        </w:rPr>
        <w:t>The model is quasi-periodic and satisfies the conditions of Kolmogorov–Arnold–Moser theory.</w:t>
      </w:r>
    </w:p>
    <w:p w14:paraId="16DEE993" w14:textId="69728346" w:rsidR="00040634" w:rsidRDefault="00280250">
      <w:pPr>
        <w:pStyle w:val="Lijstalinea"/>
        <w:numPr>
          <w:ilvl w:val="0"/>
          <w:numId w:val="2"/>
        </w:numPr>
        <w:spacing w:after="120"/>
        <w:jc w:val="both"/>
      </w:pPr>
      <w:r w:rsidRPr="00EE62B6">
        <w:rPr>
          <w:lang w:val="en-US"/>
        </w:rPr>
        <w:t xml:space="preserve">We conclude that the cyclical motions within the model must not resonate </w:t>
      </w:r>
      <w:proofErr w:type="gramStart"/>
      <w:r w:rsidRPr="00EE62B6">
        <w:rPr>
          <w:lang w:val="en-US"/>
        </w:rPr>
        <w:t>in order to</w:t>
      </w:r>
      <w:proofErr w:type="gramEnd"/>
      <w:r w:rsidRPr="00EE62B6">
        <w:rPr>
          <w:lang w:val="en-US"/>
        </w:rPr>
        <w:t xml:space="preserve"> safeguard the stability of the system. This requires the ratios between the cycle lengths to be sufficiently irrational. The golden ratio, </w:t>
      </w:r>
      <w:r>
        <w:t>φ</w:t>
      </w:r>
      <w:r w:rsidRPr="00EE62B6">
        <w:rPr>
          <w:lang w:val="en-US"/>
        </w:rPr>
        <w:t xml:space="preserve">, is known as the most irrational ratio and therefore provides maximum system stability. </w:t>
      </w:r>
      <w:r>
        <w:t xml:space="preserve">The system is </w:t>
      </w:r>
      <w:proofErr w:type="spellStart"/>
      <w:r>
        <w:t>thus</w:t>
      </w:r>
      <w:proofErr w:type="spellEnd"/>
      <w:r>
        <w:t xml:space="preserve"> </w:t>
      </w:r>
      <w:proofErr w:type="spellStart"/>
      <w:r>
        <w:t>dynamically</w:t>
      </w:r>
      <w:proofErr w:type="spellEnd"/>
      <w:r>
        <w:t xml:space="preserve"> </w:t>
      </w:r>
      <w:proofErr w:type="spellStart"/>
      <w:r>
        <w:t>stable</w:t>
      </w:r>
      <w:proofErr w:type="spellEnd"/>
      <w:r>
        <w:t>.</w:t>
      </w:r>
    </w:p>
    <w:p w14:paraId="67D14B9E" w14:textId="44160A78" w:rsidR="00E97D12" w:rsidRPr="00EE62B6" w:rsidRDefault="001C5C45">
      <w:pPr>
        <w:pStyle w:val="Lijstalinea"/>
        <w:numPr>
          <w:ilvl w:val="0"/>
          <w:numId w:val="2"/>
        </w:numPr>
        <w:spacing w:after="120"/>
        <w:jc w:val="both"/>
        <w:rPr>
          <w:lang w:val="en-US"/>
        </w:rPr>
      </w:pPr>
      <w:r w:rsidRPr="00EE62B6">
        <w:rPr>
          <w:lang w:val="en-US"/>
        </w:rPr>
        <w:t xml:space="preserve">Empirical findings in De Groot, Segers and Prins (2021, 2022) show that the ratios between </w:t>
      </w:r>
      <w:proofErr w:type="spellStart"/>
      <w:r w:rsidRPr="00EE62B6">
        <w:rPr>
          <w:lang w:val="en-US"/>
        </w:rPr>
        <w:t>subcycle</w:t>
      </w:r>
      <w:proofErr w:type="spellEnd"/>
      <w:r w:rsidRPr="00EE62B6">
        <w:rPr>
          <w:lang w:val="en-US"/>
        </w:rPr>
        <w:t xml:space="preserve"> lengths in the GDP of 25 OECD countries are indeed very close to the golden ratio.</w:t>
      </w:r>
    </w:p>
    <w:p w14:paraId="06EF8D3B" w14:textId="77777777" w:rsidR="00204E35" w:rsidRPr="00EE62B6" w:rsidRDefault="00E97D12" w:rsidP="00B462F6">
      <w:pPr>
        <w:pStyle w:val="Lijstalinea"/>
        <w:numPr>
          <w:ilvl w:val="0"/>
          <w:numId w:val="2"/>
        </w:numPr>
        <w:spacing w:after="120"/>
        <w:jc w:val="both"/>
        <w:rPr>
          <w:lang w:val="en-US"/>
        </w:rPr>
      </w:pPr>
      <w:r w:rsidRPr="00EE62B6">
        <w:rPr>
          <w:lang w:val="en-US"/>
        </w:rPr>
        <w:t xml:space="preserve">Individual variables such as consumer prices, employment, wages, interest rates, commodity prices, war and GDP also display subcycles. Cycles examined by scientists over 165 years of research show a clustering around numbers from the Fibonacci sequence. </w:t>
      </w:r>
      <w:r>
        <w:t xml:space="preserve">De Groot, E.A. (2006), De Groot, E.A., Franses, P.H.B.F. (2008, 2009, 2012). </w:t>
      </w:r>
      <w:r w:rsidRPr="00EE62B6">
        <w:rPr>
          <w:lang w:val="en-US"/>
        </w:rPr>
        <w:t>The golden ratio is the limiting value of the ratio between consecutive numbers in the Fibonacci sequence.</w:t>
      </w:r>
    </w:p>
    <w:p w14:paraId="6BF67132" w14:textId="691287C5" w:rsidR="00E97D12" w:rsidRPr="00EE62B6" w:rsidRDefault="00175D97" w:rsidP="00B462F6">
      <w:pPr>
        <w:pStyle w:val="Lijstalinea"/>
        <w:numPr>
          <w:ilvl w:val="0"/>
          <w:numId w:val="2"/>
        </w:numPr>
        <w:spacing w:after="120"/>
        <w:jc w:val="both"/>
        <w:rPr>
          <w:lang w:val="en-US"/>
        </w:rPr>
      </w:pPr>
      <w:r w:rsidRPr="00EE62B6">
        <w:rPr>
          <w:lang w:val="en-US"/>
        </w:rPr>
        <w:t>The golden ratio is visible and active in both the micro- and the macro-economy.</w:t>
      </w:r>
    </w:p>
    <w:p w14:paraId="7FB3A6E7" w14:textId="77777777" w:rsidR="00040634" w:rsidRPr="00EE62B6" w:rsidRDefault="00040634">
      <w:pPr>
        <w:spacing w:after="200"/>
        <w:rPr>
          <w:lang w:val="en-US"/>
        </w:rPr>
      </w:pPr>
    </w:p>
    <w:p w14:paraId="2A16E5D4" w14:textId="77777777" w:rsidR="00040634" w:rsidRPr="00EE62B6" w:rsidRDefault="00713A59">
      <w:pPr>
        <w:spacing w:after="160"/>
        <w:rPr>
          <w:lang w:val="en-US"/>
        </w:rPr>
      </w:pPr>
      <w:r w:rsidRPr="00EE62B6">
        <w:rPr>
          <w:b/>
          <w:bCs/>
          <w:lang w:val="en-US"/>
        </w:rPr>
        <w:t>SUMMARY</w:t>
      </w:r>
    </w:p>
    <w:p w14:paraId="4B7BC969" w14:textId="2042E6C1" w:rsidR="00040634" w:rsidRPr="00EE62B6" w:rsidRDefault="00713A59">
      <w:pPr>
        <w:spacing w:after="160"/>
        <w:jc w:val="both"/>
        <w:rPr>
          <w:lang w:val="en-US"/>
        </w:rPr>
      </w:pPr>
      <w:r w:rsidRPr="00EE62B6">
        <w:rPr>
          <w:lang w:val="en-US"/>
        </w:rPr>
        <w:t xml:space="preserve">Schumpeter (1939) conjectured that there exist many, or perhaps even an indefinite number, of subcycles in an economy, but that in the long run only a few subcycles remain stable and persist, whereas others become unstable and cease. In this article, we build upon this idea, hypothesizing that, for a multiple cycle structure to persist, the cyclical lengths of subcycles should not be multiples of each other. We formalize our theory using a mathematical model for investment behavior, inspired by Austrian Business Cycle theory (ABCT). The model is quasi-periodic and satisfies the conditions of Kolmogorov–Arnold–Moser theory. This enables us to describe the dynamic properties of the model. We conclude that the cycles of the system should be non-resonant for the motion to remain stable in the long run. That is, that the ratios between the cycle lengths should be sufficiently irrational. The golden ratio, </w:t>
      </w:r>
      <w:r>
        <w:t>φ</w:t>
      </w:r>
      <w:r w:rsidRPr="00EE62B6">
        <w:rPr>
          <w:lang w:val="en-US"/>
        </w:rPr>
        <w:t xml:space="preserve">, satisfies this requirement. Coupled with the recent empirical findings of De Groot et al. (2021, 2022), who established the ratios between subcycle lengths in the gross domestic product (GDP) of 25 OECD countries and found them to be close to </w:t>
      </w:r>
      <w:r>
        <w:t>φ</w:t>
      </w:r>
      <w:r w:rsidRPr="00EE62B6">
        <w:rPr>
          <w:lang w:val="en-US"/>
        </w:rPr>
        <w:t xml:space="preserve">, we conclude that the cycles detected therein are non-resonant and remain stable. This puts Schumpeter's thesis on both a theoretical and an empirical footing, extended by the connecting factor </w:t>
      </w:r>
      <w:r>
        <w:t>φ</w:t>
      </w:r>
      <w:r w:rsidRPr="00EE62B6">
        <w:rPr>
          <w:lang w:val="en-US"/>
        </w:rPr>
        <w:t xml:space="preserve">. Because the factor </w:t>
      </w:r>
      <w:r>
        <w:t>φ</w:t>
      </w:r>
      <w:r w:rsidRPr="00EE62B6">
        <w:rPr>
          <w:lang w:val="en-US"/>
        </w:rPr>
        <w:t xml:space="preserve"> pertains to both micro- and macro-economic variables, it constitutes an organizing principle in the economy.</w:t>
      </w:r>
    </w:p>
    <w:p w14:paraId="5D3FD07B" w14:textId="77777777" w:rsidR="009F649A" w:rsidRPr="00EE62B6" w:rsidRDefault="009F649A">
      <w:pPr>
        <w:spacing w:after="160"/>
        <w:jc w:val="both"/>
        <w:rPr>
          <w:lang w:val="en-US"/>
        </w:rPr>
      </w:pPr>
    </w:p>
    <w:p w14:paraId="22031DAC" w14:textId="77777777" w:rsidR="00740B54" w:rsidRPr="00EE62B6" w:rsidRDefault="00740B54">
      <w:pPr>
        <w:spacing w:after="300"/>
        <w:rPr>
          <w:b/>
          <w:bCs/>
          <w:i/>
          <w:iCs/>
          <w:lang w:val="en-US"/>
        </w:rPr>
      </w:pPr>
    </w:p>
    <w:p w14:paraId="66EAA15A" w14:textId="5732C18E" w:rsidR="00040634" w:rsidRPr="00EE62B6" w:rsidRDefault="00713A59">
      <w:pPr>
        <w:spacing w:after="300"/>
        <w:rPr>
          <w:i/>
          <w:iCs/>
          <w:lang w:val="en-US"/>
        </w:rPr>
      </w:pPr>
      <w:r w:rsidRPr="00EE62B6">
        <w:rPr>
          <w:b/>
          <w:bCs/>
          <w:i/>
          <w:iCs/>
          <w:lang w:val="en-US"/>
        </w:rPr>
        <w:t>Keywords: Economic cycle theory; Austrian business cycle theory; KAM theory; Golden ratio</w:t>
      </w:r>
    </w:p>
    <w:p w14:paraId="51ED2C6F" w14:textId="7E7B7B62" w:rsidR="00EC03A0" w:rsidRPr="00EC03A0" w:rsidRDefault="00EC03A0" w:rsidP="00EC03A0">
      <w:pPr>
        <w:spacing w:after="300"/>
        <w:rPr>
          <w:sz w:val="16"/>
          <w:szCs w:val="16"/>
        </w:rPr>
      </w:pPr>
      <w:r w:rsidRPr="00EE62B6">
        <w:rPr>
          <w:i/>
          <w:iCs/>
          <w:sz w:val="16"/>
          <w:szCs w:val="16"/>
          <w:lang w:val="en-US"/>
        </w:rPr>
        <w:t xml:space="preserve">All rights reserved by the authors.  </w:t>
      </w:r>
      <w:r>
        <w:rPr>
          <w:i/>
          <w:iCs/>
          <w:sz w:val="16"/>
          <w:szCs w:val="16"/>
        </w:rPr>
        <w:t xml:space="preserve">© E A de Groot &amp; R Segers </w:t>
      </w:r>
    </w:p>
    <w:p w14:paraId="523CDC3A" w14:textId="7EBDC9A1" w:rsidR="00040634" w:rsidRPr="00EE62B6" w:rsidRDefault="00713A59">
      <w:pPr>
        <w:pStyle w:val="Kop1"/>
        <w:spacing w:before="320" w:after="160"/>
        <w:rPr>
          <w:lang w:val="en-US"/>
        </w:rPr>
      </w:pPr>
      <w:r w:rsidRPr="00EE62B6">
        <w:rPr>
          <w:lang w:val="en-US"/>
        </w:rPr>
        <w:lastRenderedPageBreak/>
        <w:t>1. Introduction</w:t>
      </w:r>
    </w:p>
    <w:p w14:paraId="03D97172" w14:textId="77777777" w:rsidR="00040634" w:rsidRPr="00EE62B6" w:rsidRDefault="00713A59">
      <w:pPr>
        <w:spacing w:after="160"/>
        <w:jc w:val="both"/>
        <w:rPr>
          <w:lang w:val="en-US"/>
        </w:rPr>
      </w:pPr>
      <w:r w:rsidRPr="00EE62B6">
        <w:rPr>
          <w:lang w:val="en-US"/>
        </w:rPr>
        <w:t>The analysis of economic cycles helps to signal future turning points and thereby to alleviate economic and societal distress. The field goes back to the revolutionary ideas of Kondratieff (1926, 1928), which inspired contemporaries such as Frisch and Tinbergen to mathematically model cycles (Frisch, 1933a; Tinbergen, 1939) — work for which they received the first Nobel Prize in Economics in 1969. Other influential contributions came from Burns and Mitchell (1947), Schumpeter (1939) and Stock and Watson (1998).</w:t>
      </w:r>
    </w:p>
    <w:p w14:paraId="47E1C3C2" w14:textId="26E51BAF" w:rsidR="00040634" w:rsidRPr="00EE62B6" w:rsidRDefault="00713A59">
      <w:pPr>
        <w:spacing w:after="160"/>
        <w:jc w:val="both"/>
        <w:rPr>
          <w:lang w:val="en-US"/>
        </w:rPr>
      </w:pPr>
      <w:r w:rsidRPr="00EE62B6">
        <w:rPr>
          <w:lang w:val="en-US"/>
        </w:rPr>
        <w:t xml:space="preserve">Many macro-economic indicators display not one, but multiple subcycles of varying length (De Groot and Franses, 2008; Korotayev and </w:t>
      </w:r>
      <w:proofErr w:type="spellStart"/>
      <w:r w:rsidRPr="00EE62B6">
        <w:rPr>
          <w:lang w:val="en-US"/>
        </w:rPr>
        <w:t>Tsirel</w:t>
      </w:r>
      <w:proofErr w:type="spellEnd"/>
      <w:r w:rsidRPr="00EE62B6">
        <w:rPr>
          <w:lang w:val="en-US"/>
        </w:rPr>
        <w:t>, 2010; Sanidas, 2014; Schumpeter, 1939), but relatively little is known about their interrelationship. There exist two schools of thought in the literature. The first holds that the number of subcycles is small and that their lengths tend to become multiples of each other — a process known as entrainment (Forrester, 1977) or mode-locking (Berry, 2000); in this case the cyclical structures resonate. The second school of thought conjectures that there exist many, or perhaps even an indefinite number of subcycles (Schumpeter, 1939), of which in the long run only a few remain stable, that is, non-resonating cyclical structures. The idea is that subcycles with multiple lengths would lead to great economic instability (De Groot and Franses, 2008).</w:t>
      </w:r>
    </w:p>
    <w:p w14:paraId="3B1FBCCC" w14:textId="5F285998" w:rsidR="00040634" w:rsidRPr="00EE62B6" w:rsidRDefault="00713A59">
      <w:pPr>
        <w:spacing w:after="160"/>
        <w:jc w:val="both"/>
        <w:rPr>
          <w:lang w:val="en-US"/>
        </w:rPr>
      </w:pPr>
      <w:r w:rsidRPr="00EE62B6">
        <w:rPr>
          <w:lang w:val="en-US"/>
        </w:rPr>
        <w:t>Although the empirical research predominantly points in the direction of the second school of thought (see the meta-analysis in Section 2), it lacks a dynamic mathematical model that explains why non-resonating subcycles persist and resonating subcycles cease. This article introduces such a model.</w:t>
      </w:r>
    </w:p>
    <w:p w14:paraId="4B9AB759" w14:textId="77777777" w:rsidR="00040634" w:rsidRPr="00EE62B6" w:rsidRDefault="00713A59">
      <w:pPr>
        <w:pStyle w:val="Kop2"/>
        <w:spacing w:before="260" w:after="140"/>
        <w:rPr>
          <w:lang w:val="en-US"/>
        </w:rPr>
      </w:pPr>
      <w:r w:rsidRPr="00EE62B6">
        <w:rPr>
          <w:lang w:val="en-US"/>
        </w:rPr>
        <w:t>1.1. Sociobiological theory</w:t>
      </w:r>
    </w:p>
    <w:p w14:paraId="0978B7FD" w14:textId="61F271F6" w:rsidR="00040634" w:rsidRPr="00EE62B6" w:rsidRDefault="00713A59">
      <w:pPr>
        <w:spacing w:after="160"/>
        <w:jc w:val="both"/>
        <w:rPr>
          <w:lang w:val="en-US"/>
        </w:rPr>
      </w:pPr>
      <w:r w:rsidRPr="00EE62B6">
        <w:rPr>
          <w:lang w:val="en-US"/>
        </w:rPr>
        <w:t xml:space="preserve">Our model is inspired by biology (Devezas, 2005; </w:t>
      </w:r>
      <w:proofErr w:type="spellStart"/>
      <w:r w:rsidRPr="00EE62B6">
        <w:rPr>
          <w:lang w:val="en-US"/>
        </w:rPr>
        <w:t>Devezas</w:t>
      </w:r>
      <w:proofErr w:type="spellEnd"/>
      <w:r w:rsidRPr="00EE62B6">
        <w:rPr>
          <w:lang w:val="en-US"/>
        </w:rPr>
        <w:t xml:space="preserve"> et al., 2007; </w:t>
      </w:r>
      <w:proofErr w:type="spellStart"/>
      <w:r w:rsidRPr="00EE62B6">
        <w:rPr>
          <w:lang w:val="en-US"/>
        </w:rPr>
        <w:t>Hirshleifer</w:t>
      </w:r>
      <w:proofErr w:type="spellEnd"/>
      <w:r w:rsidRPr="00EE62B6">
        <w:rPr>
          <w:lang w:val="en-US"/>
        </w:rPr>
        <w:t xml:space="preserve">, 1977, 1978; </w:t>
      </w:r>
      <w:proofErr w:type="spellStart"/>
      <w:r w:rsidRPr="00EE62B6">
        <w:rPr>
          <w:lang w:val="en-US"/>
        </w:rPr>
        <w:t>Linstone</w:t>
      </w:r>
      <w:proofErr w:type="spellEnd"/>
      <w:r w:rsidRPr="00EE62B6">
        <w:rPr>
          <w:lang w:val="en-US"/>
        </w:rPr>
        <w:t>, 2006). Sociobiological theory holds that entities choose strategies that promote their survival (</w:t>
      </w:r>
      <w:proofErr w:type="spellStart"/>
      <w:r w:rsidRPr="00EE62B6">
        <w:rPr>
          <w:lang w:val="en-US"/>
        </w:rPr>
        <w:t>Hirshleifer</w:t>
      </w:r>
      <w:proofErr w:type="spellEnd"/>
      <w:r w:rsidRPr="00EE62B6">
        <w:rPr>
          <w:lang w:val="en-US"/>
        </w:rPr>
        <w:t xml:space="preserve">, 1977). Similarly, economic agents optimize their decisions, which leads to competition, cooperation, conflict, learning and evolution (Hirshleifer, 1978; </w:t>
      </w:r>
      <w:proofErr w:type="spellStart"/>
      <w:r w:rsidRPr="00EE62B6">
        <w:rPr>
          <w:lang w:val="en-US"/>
        </w:rPr>
        <w:t>Devezas</w:t>
      </w:r>
      <w:proofErr w:type="spellEnd"/>
      <w:r w:rsidRPr="00EE62B6">
        <w:rPr>
          <w:lang w:val="en-US"/>
        </w:rPr>
        <w:t xml:space="preserve"> and </w:t>
      </w:r>
      <w:proofErr w:type="spellStart"/>
      <w:r w:rsidRPr="00EE62B6">
        <w:rPr>
          <w:lang w:val="en-US"/>
        </w:rPr>
        <w:t>Corredine</w:t>
      </w:r>
      <w:proofErr w:type="spellEnd"/>
      <w:r w:rsidRPr="00EE62B6">
        <w:rPr>
          <w:lang w:val="en-US"/>
        </w:rPr>
        <w:t>, 2001).</w:t>
      </w:r>
    </w:p>
    <w:p w14:paraId="7737128A" w14:textId="4C68DE80" w:rsidR="00040634" w:rsidRPr="00EE62B6" w:rsidRDefault="00713A59">
      <w:pPr>
        <w:spacing w:after="160"/>
        <w:jc w:val="both"/>
        <w:rPr>
          <w:lang w:val="en-US"/>
        </w:rPr>
      </w:pPr>
      <w:r w:rsidRPr="00EE62B6">
        <w:rPr>
          <w:lang w:val="en-US"/>
        </w:rPr>
        <w:t>Frisch (1932), Kondratieff (1926, 1928) and Schumpeter (1939) explain cyclical fluctuation from a biological mechanism; Schumpeter saw economic growth as driven by clusters of innovation followed by 'creative destruction'. The predator-prey model of Lotka and Volterra inspired Goodwin (1967, 1951) to develop a model of the interaction between employment and the wage share, which produces endogenous cycles in output, unemployment and wages (Feinstein and Dobb, 1967).</w:t>
      </w:r>
    </w:p>
    <w:p w14:paraId="16CF29BA" w14:textId="4BAF2EC6" w:rsidR="00040634" w:rsidRPr="00EE62B6" w:rsidRDefault="00713A59">
      <w:pPr>
        <w:spacing w:after="160"/>
        <w:jc w:val="both"/>
        <w:rPr>
          <w:lang w:val="en-US"/>
        </w:rPr>
      </w:pPr>
      <w:r w:rsidRPr="00EE62B6">
        <w:rPr>
          <w:lang w:val="en-US"/>
        </w:rPr>
        <w:t xml:space="preserve">Other researchers have sought explanations for long, Kondratieff (K-) waves: Marchetti (1980) used Lotka–Volterra equations to demonstrate structured waves of innovation. Later applications concerned stocks and bonds (Modis, 1999) and banking (Thompson, 2011). </w:t>
      </w:r>
      <w:proofErr w:type="spellStart"/>
      <w:r w:rsidRPr="00EE62B6">
        <w:rPr>
          <w:lang w:val="en-US"/>
        </w:rPr>
        <w:t>Devezas</w:t>
      </w:r>
      <w:proofErr w:type="spellEnd"/>
      <w:r w:rsidRPr="00EE62B6">
        <w:rPr>
          <w:lang w:val="en-US"/>
        </w:rPr>
        <w:t xml:space="preserve"> and </w:t>
      </w:r>
      <w:proofErr w:type="spellStart"/>
      <w:r w:rsidRPr="00EE62B6">
        <w:rPr>
          <w:lang w:val="en-US"/>
        </w:rPr>
        <w:t>Corredine</w:t>
      </w:r>
      <w:proofErr w:type="spellEnd"/>
      <w:r w:rsidRPr="00EE62B6">
        <w:rPr>
          <w:lang w:val="en-US"/>
        </w:rPr>
        <w:t xml:space="preserve"> (2001) pointed to generational and cognitive drivers, and Modelski (2006) pointed to the relation with global political evolution.</w:t>
      </w:r>
    </w:p>
    <w:p w14:paraId="24808622" w14:textId="2CE45DFD" w:rsidR="00040634" w:rsidRPr="00EE62B6" w:rsidRDefault="00713A59">
      <w:pPr>
        <w:spacing w:after="160"/>
        <w:jc w:val="both"/>
        <w:rPr>
          <w:lang w:val="en-US"/>
        </w:rPr>
      </w:pPr>
      <w:r w:rsidRPr="00EE62B6">
        <w:rPr>
          <w:lang w:val="en-US"/>
        </w:rPr>
        <w:t>We base our model on May (1978), who describes the population dynamics of insects and parasitoids, and reinterpret this for the growth of good investment versus malinvestment.</w:t>
      </w:r>
    </w:p>
    <w:p w14:paraId="71A69DB7" w14:textId="77777777" w:rsidR="00040634" w:rsidRPr="00EE62B6" w:rsidRDefault="00713A59">
      <w:pPr>
        <w:pStyle w:val="Kop2"/>
        <w:spacing w:before="260" w:after="140"/>
        <w:rPr>
          <w:lang w:val="en-US"/>
        </w:rPr>
      </w:pPr>
      <w:r w:rsidRPr="00EE62B6">
        <w:rPr>
          <w:lang w:val="en-US"/>
        </w:rPr>
        <w:t>1.2. Austrian business cycle theory</w:t>
      </w:r>
    </w:p>
    <w:p w14:paraId="1FFD6DBE" w14:textId="22A135A5" w:rsidR="00040634" w:rsidRPr="00EE62B6" w:rsidRDefault="00713A59">
      <w:pPr>
        <w:spacing w:after="160"/>
        <w:jc w:val="both"/>
        <w:rPr>
          <w:lang w:val="en-US"/>
        </w:rPr>
      </w:pPr>
      <w:r w:rsidRPr="00EE62B6">
        <w:rPr>
          <w:lang w:val="en-US"/>
        </w:rPr>
        <w:t xml:space="preserve">Investment behavior is regarded by several researchers as the source of economic cycles (Greenwood et al., 1988; Justiniano et al., 2010) and is attributed to the marginal efficiency of investment (Keynes, 1936). Austrian business cycle theory (ABCT) places the credit issue at its foundation. Low interest rates in times of low activity stimulate borrowing and investment, which causes a boom, but also provokes malinvestments that inevitably lead to a downturn (Hayek, 1929; Rothbard, 1972; Von Mises, 1912). This pattern repeats itself, creating economic cycles. For a long </w:t>
      </w:r>
      <w:proofErr w:type="gramStart"/>
      <w:r w:rsidRPr="00EE62B6">
        <w:rPr>
          <w:lang w:val="en-US"/>
        </w:rPr>
        <w:t>time</w:t>
      </w:r>
      <w:proofErr w:type="gramEnd"/>
      <w:r w:rsidRPr="00EE62B6">
        <w:rPr>
          <w:lang w:val="en-US"/>
        </w:rPr>
        <w:t xml:space="preserve"> the ABCT received little support, but since the financial crisis of 2007–2008 its popularity has increased (Salerno, 2012; see also Keeler, 2001).</w:t>
      </w:r>
    </w:p>
    <w:p w14:paraId="5867DA07" w14:textId="77777777" w:rsidR="00040634" w:rsidRPr="00EE62B6" w:rsidRDefault="00713A59">
      <w:pPr>
        <w:pStyle w:val="Kop2"/>
        <w:spacing w:before="260" w:after="140"/>
        <w:rPr>
          <w:lang w:val="en-US"/>
        </w:rPr>
      </w:pPr>
      <w:r w:rsidRPr="00EE62B6">
        <w:rPr>
          <w:lang w:val="en-US"/>
        </w:rPr>
        <w:t>1.3. Kolmogorov–Arnold–Moser theory</w:t>
      </w:r>
    </w:p>
    <w:p w14:paraId="23242DBD" w14:textId="72A0969F" w:rsidR="00040634" w:rsidRPr="00EE62B6" w:rsidRDefault="00713A59">
      <w:pPr>
        <w:spacing w:after="160"/>
        <w:jc w:val="both"/>
        <w:rPr>
          <w:lang w:val="en-US"/>
        </w:rPr>
      </w:pPr>
      <w:r w:rsidRPr="00EE62B6">
        <w:rPr>
          <w:lang w:val="en-US"/>
        </w:rPr>
        <w:t xml:space="preserve">Gidea et al. (2011) show that our model satisfies the Kolmogorov–Arnold–Moser (KAM) theory (Arnold, 1963; Kolmogorov, 1954; </w:t>
      </w:r>
      <w:proofErr w:type="spellStart"/>
      <w:r w:rsidRPr="00EE62B6">
        <w:rPr>
          <w:lang w:val="en-US"/>
        </w:rPr>
        <w:t>Möser</w:t>
      </w:r>
      <w:proofErr w:type="spellEnd"/>
      <w:r w:rsidRPr="00EE62B6">
        <w:rPr>
          <w:lang w:val="en-US"/>
        </w:rPr>
        <w:t xml:space="preserve">, 1962; </w:t>
      </w:r>
      <w:proofErr w:type="spellStart"/>
      <w:r w:rsidRPr="00EE62B6">
        <w:rPr>
          <w:lang w:val="en-US"/>
        </w:rPr>
        <w:t>Chierchia</w:t>
      </w:r>
      <w:proofErr w:type="spellEnd"/>
      <w:r w:rsidRPr="00EE62B6">
        <w:rPr>
          <w:lang w:val="en-US"/>
        </w:rPr>
        <w:t xml:space="preserve"> and Pinzari, 2011), which describes the effect of small </w:t>
      </w:r>
      <w:r w:rsidRPr="00EE62B6">
        <w:rPr>
          <w:lang w:val="en-US"/>
        </w:rPr>
        <w:lastRenderedPageBreak/>
        <w:t>perturbations in quasi-periodic dynamic systems (Dumas, 2014). Such systems are periodic on a small scale but unpredictable on a larger scale. Under a perturbation, some motions remain stable — these satisfy the non-resonance principle, in which perturbations are not amplified and fade out — while other, resonating motions become unstable. A well-known example is the orbit of planets around the sun. With a single planet, the system is exactly solvable and stable, but with multiple planets, mutual gravitational forces perturb the orbits, and planets with a frequency ratio close to a fraction with a small denominator exhibit orbital resonance and become unstable (Ghys, 2007).</w:t>
      </w:r>
    </w:p>
    <w:p w14:paraId="3DFB746A" w14:textId="129523B0" w:rsidR="00040634" w:rsidRPr="00EE62B6" w:rsidRDefault="00713A59">
      <w:pPr>
        <w:spacing w:after="160"/>
        <w:jc w:val="both"/>
        <w:rPr>
          <w:lang w:val="en-US"/>
        </w:rPr>
      </w:pPr>
      <w:r w:rsidRPr="00EE62B6">
        <w:rPr>
          <w:lang w:val="en-US"/>
        </w:rPr>
        <w:t xml:space="preserve">Applied to economic cycles, we assume that subcycles must be non-resonant </w:t>
      </w:r>
      <w:proofErr w:type="gramStart"/>
      <w:r w:rsidRPr="00EE62B6">
        <w:rPr>
          <w:lang w:val="en-US"/>
        </w:rPr>
        <w:t>in order to</w:t>
      </w:r>
      <w:proofErr w:type="gramEnd"/>
      <w:r w:rsidRPr="00EE62B6">
        <w:rPr>
          <w:lang w:val="en-US"/>
        </w:rPr>
        <w:t xml:space="preserve"> persist, that is, that their length ratios must be sufficiently irrational. De Groot et al. (2021) found that the ratios between subcycle lengths in the GDP growth of 25 OECD countries and Europe are close to the golden ratio </w:t>
      </w:r>
      <w:r>
        <w:t>φ</w:t>
      </w:r>
      <w:r w:rsidRPr="00EE62B6">
        <w:rPr>
          <w:lang w:val="en-US"/>
        </w:rPr>
        <w:t xml:space="preserve"> — generally recognized as the most irrational number. Combined with this theoretical study, we conclude that these subcycles are likely non-resonant and therefore stable.</w:t>
      </w:r>
    </w:p>
    <w:p w14:paraId="15A98F4E" w14:textId="6EC831F9" w:rsidR="00040634" w:rsidRPr="00EE62B6" w:rsidRDefault="00713A59">
      <w:pPr>
        <w:spacing w:after="160"/>
        <w:jc w:val="both"/>
        <w:rPr>
          <w:lang w:val="en-US"/>
        </w:rPr>
      </w:pPr>
      <w:r w:rsidRPr="00EE62B6">
        <w:rPr>
          <w:lang w:val="en-US"/>
        </w:rPr>
        <w:t>The remainder of this article is organized as follows. Section 2 provides a literature perspective and meta-analysis. Section 3 introduces the model. Section 4 discusses the dynamic properties via KAM theory. Section 5 contains the conclusion.</w:t>
      </w:r>
    </w:p>
    <w:p w14:paraId="24EB68F2" w14:textId="77777777" w:rsidR="00040634" w:rsidRPr="00EE62B6" w:rsidRDefault="00713A59">
      <w:pPr>
        <w:pStyle w:val="Kop1"/>
        <w:spacing w:before="320" w:after="160"/>
        <w:rPr>
          <w:lang w:val="en-US"/>
        </w:rPr>
      </w:pPr>
      <w:r w:rsidRPr="00EE62B6">
        <w:rPr>
          <w:lang w:val="en-US"/>
        </w:rPr>
        <w:t>2. Literature perspective on multi-structured cycles</w:t>
      </w:r>
    </w:p>
    <w:p w14:paraId="7625DBEF" w14:textId="77777777" w:rsidR="00040634" w:rsidRPr="00EE62B6" w:rsidRDefault="00713A59">
      <w:pPr>
        <w:pStyle w:val="Kop2"/>
        <w:spacing w:before="260" w:after="140"/>
        <w:rPr>
          <w:lang w:val="en-US"/>
        </w:rPr>
      </w:pPr>
      <w:r w:rsidRPr="00EE62B6">
        <w:rPr>
          <w:lang w:val="en-US"/>
        </w:rPr>
        <w:t>2.1. Earlier research</w:t>
      </w:r>
    </w:p>
    <w:p w14:paraId="25735FBB" w14:textId="24551DF0" w:rsidR="00040634" w:rsidRPr="00EE62B6" w:rsidRDefault="00713A59">
      <w:pPr>
        <w:pStyle w:val="Kop3"/>
        <w:spacing w:before="220" w:after="120"/>
        <w:rPr>
          <w:lang w:val="en-US"/>
        </w:rPr>
      </w:pPr>
      <w:r w:rsidRPr="00EE62B6">
        <w:rPr>
          <w:i/>
          <w:iCs/>
          <w:lang w:val="en-US"/>
        </w:rPr>
        <w:t>2.1.1. 150 years of research on economic cycles</w:t>
      </w:r>
    </w:p>
    <w:p w14:paraId="562C3ECE" w14:textId="2A5AD16C" w:rsidR="00040634" w:rsidRPr="00EE62B6" w:rsidRDefault="00713A59">
      <w:pPr>
        <w:spacing w:after="160"/>
        <w:jc w:val="both"/>
        <w:rPr>
          <w:lang w:val="en-US"/>
        </w:rPr>
      </w:pPr>
      <w:r w:rsidRPr="00EE62B6">
        <w:rPr>
          <w:lang w:val="en-US"/>
        </w:rPr>
        <w:t>Over the past 150 years, scientists from a wide range of disciplines — economics, econometrics, mathematics, statistics, physics and biology — have sought to explain the existence of economic cycles. Clarke (1847) was among the first to document cycles, dating back to 1202. Kondratieff (1926, 1928) extended the then-known cycles of 7–10 years with longer cycles of 48–60 years, which he attributed to technical change, wars, the assimilation of new countries into the world economy, and fluctuations in gold production. He regarded crises as an 'organic' part of capitalism (cf. Marx, 1867; Juglar, 1862).</w:t>
      </w:r>
    </w:p>
    <w:p w14:paraId="7A7255AD" w14:textId="62F25C0B" w:rsidR="00040634" w:rsidRPr="00EE62B6" w:rsidRDefault="00713A59">
      <w:pPr>
        <w:spacing w:after="160"/>
        <w:jc w:val="both"/>
        <w:rPr>
          <w:lang w:val="en-US"/>
        </w:rPr>
      </w:pPr>
      <w:r w:rsidRPr="00EE62B6">
        <w:rPr>
          <w:lang w:val="en-US"/>
        </w:rPr>
        <w:t>Ragnar Frisch formulated, with his rocking-horse metaphor (Frisch, 1933a), one of the first mathematical models for economic oscillations. In 1969 he received, together with Tinbergen, the first Nobel Prize in Economics. He endorsed Kondratieff's theory (Frisch, 1927) and found subcycles of nine, twenty and fifty years in English price data (Frisch, 1933b). Tinbergen (1929) and Mitchell (1927) also responded positively to the work of De Wolff (1929) and Kondratieff (1926) on long waves.</w:t>
      </w:r>
    </w:p>
    <w:p w14:paraId="0F4DBCD2" w14:textId="447B8CBF" w:rsidR="00040634" w:rsidRPr="00EE62B6" w:rsidRDefault="00713A59">
      <w:pPr>
        <w:pStyle w:val="Kop3"/>
        <w:spacing w:before="220" w:after="120"/>
        <w:rPr>
          <w:lang w:val="en-US"/>
        </w:rPr>
      </w:pPr>
      <w:r w:rsidRPr="00EE62B6">
        <w:rPr>
          <w:i/>
          <w:iCs/>
          <w:lang w:val="en-US"/>
        </w:rPr>
        <w:t>2.1.2. Frisch's triple pendulum model</w:t>
      </w:r>
    </w:p>
    <w:p w14:paraId="34517837" w14:textId="0088051E" w:rsidR="00040634" w:rsidRPr="00EE62B6" w:rsidRDefault="00713A59">
      <w:pPr>
        <w:spacing w:after="160"/>
        <w:jc w:val="both"/>
        <w:rPr>
          <w:lang w:val="en-US"/>
        </w:rPr>
      </w:pPr>
      <w:r w:rsidRPr="00EE62B6">
        <w:rPr>
          <w:lang w:val="en-US"/>
        </w:rPr>
        <w:t>Frisch (1930) also developed a pendulum model, consisting of three pendulums of decreasing mass connected in series, inspired by sea waves at different scales (wind, storm, tide). As the mass of the lower pendulum becomes sufficiently small relative to the one above it, each pendulum oscillates approximately as if it were a free pendulum. The model remained a metaphor for multiple cycles for a long time. Research into it stopped because it was thought to be a chaotic system, which turns out not to be the case. De Groot et al. (2026) show that Frisch's pendulum model in many cases offers a more accurate description of the multiple cycles in the GDP of 25 OECD countries than conventional methods.</w:t>
      </w:r>
    </w:p>
    <w:p w14:paraId="347DAB1A" w14:textId="77777777" w:rsidR="00040634" w:rsidRPr="00EE62B6" w:rsidRDefault="00713A59">
      <w:pPr>
        <w:pStyle w:val="Kop3"/>
        <w:spacing w:before="220" w:after="120"/>
        <w:rPr>
          <w:lang w:val="en-US"/>
        </w:rPr>
      </w:pPr>
      <w:r w:rsidRPr="00EE62B6">
        <w:rPr>
          <w:i/>
          <w:iCs/>
          <w:lang w:val="en-US"/>
        </w:rPr>
        <w:t>2.1.3. Harmonic analysis at the Business Research Institute of Moscow</w:t>
      </w:r>
    </w:p>
    <w:p w14:paraId="5419C51C" w14:textId="0AA7F2DD" w:rsidR="00040634" w:rsidRPr="00EE62B6" w:rsidRDefault="00713A59">
      <w:pPr>
        <w:spacing w:after="160"/>
        <w:jc w:val="both"/>
        <w:rPr>
          <w:lang w:val="en-US"/>
        </w:rPr>
      </w:pPr>
      <w:r w:rsidRPr="00EE62B6">
        <w:rPr>
          <w:lang w:val="en-US"/>
        </w:rPr>
        <w:t xml:space="preserve">While Frisch focused on mathematical models, a team at the Business Research Institute of Moscow — with Slutzky joining from 1926 — applied harmonic analysis, based on the Fourier analysis of Fourier (1822), to detect subcycles in macro-economic time series and to measure their lengths and amplitudes. This was inspired by Moore (1914, 1923), who aimed to establish a causal link between an eight-year economic cycle and meteorological patterns. These techniques are still used </w:t>
      </w:r>
      <w:proofErr w:type="gramStart"/>
      <w:r w:rsidRPr="00EE62B6">
        <w:rPr>
          <w:lang w:val="en-US"/>
        </w:rPr>
        <w:t>today, and</w:t>
      </w:r>
      <w:proofErr w:type="gramEnd"/>
      <w:r w:rsidRPr="00EE62B6">
        <w:rPr>
          <w:lang w:val="en-US"/>
        </w:rPr>
        <w:t xml:space="preserve"> served as a basis for Slutzky's research into the sources and composition of cycles (Klein, 1997; Slutzky, 1937; Vianna Franco et al., 2021).</w:t>
      </w:r>
    </w:p>
    <w:p w14:paraId="7BAB93A4" w14:textId="77777777" w:rsidR="00040634" w:rsidRPr="00EE62B6" w:rsidRDefault="00713A59">
      <w:pPr>
        <w:pStyle w:val="Kop3"/>
        <w:spacing w:before="220" w:after="120"/>
        <w:rPr>
          <w:lang w:val="en-US"/>
        </w:rPr>
      </w:pPr>
      <w:r w:rsidRPr="00EE62B6">
        <w:rPr>
          <w:i/>
          <w:iCs/>
          <w:lang w:val="en-US"/>
        </w:rPr>
        <w:lastRenderedPageBreak/>
        <w:t>2.1.4. Schumpeter's multiple cycle hypothesis</w:t>
      </w:r>
    </w:p>
    <w:p w14:paraId="004BFDEE" w14:textId="77777777" w:rsidR="00040634" w:rsidRPr="00EE62B6" w:rsidRDefault="00713A59">
      <w:pPr>
        <w:spacing w:after="160"/>
        <w:jc w:val="both"/>
        <w:rPr>
          <w:lang w:val="en-US"/>
        </w:rPr>
      </w:pPr>
      <w:r w:rsidRPr="00EE62B6">
        <w:rPr>
          <w:lang w:val="en-US"/>
        </w:rPr>
        <w:t>Schumpeter, who worked closely with Frisch, valued the pendulum model as a stylized representation of multiple cycles, but stressed that a mechanistic model does not do justice to structural change and evolution (</w:t>
      </w:r>
      <w:proofErr w:type="spellStart"/>
      <w:r w:rsidRPr="00EE62B6">
        <w:rPr>
          <w:lang w:val="en-US"/>
        </w:rPr>
        <w:t>Louçã</w:t>
      </w:r>
      <w:proofErr w:type="spellEnd"/>
      <w:r w:rsidRPr="00EE62B6">
        <w:rPr>
          <w:lang w:val="en-US"/>
        </w:rPr>
        <w:t>, 2007). In his work he combined the long Kondratieff cycle with the medium-length Juglar and the short Kitchin cycle, with the proposition that “strictly speaking we should expect an indefinite number of cycles” (Schumpeter, 1939). As an example, he described the industrial revolution as a cluster of overlapping subcycles that together brought about a fundamental, itself also cyclical, change in the economic and social structure (Schumpeter, 1939, p. 168).</w:t>
      </w:r>
    </w:p>
    <w:p w14:paraId="7E5956F8" w14:textId="77777777" w:rsidR="00040634" w:rsidRPr="00EE62B6" w:rsidRDefault="00713A59">
      <w:pPr>
        <w:pStyle w:val="Kop2"/>
        <w:spacing w:before="260" w:after="140"/>
        <w:rPr>
          <w:lang w:val="en-US"/>
        </w:rPr>
      </w:pPr>
      <w:r w:rsidRPr="00EE62B6">
        <w:rPr>
          <w:lang w:val="en-US"/>
        </w:rPr>
        <w:t>2.2. Research after the Second World War</w:t>
      </w:r>
    </w:p>
    <w:p w14:paraId="446A5B2F" w14:textId="77777777" w:rsidR="00040634" w:rsidRPr="00EE62B6" w:rsidRDefault="00713A59">
      <w:pPr>
        <w:pStyle w:val="Kop3"/>
        <w:spacing w:before="220" w:after="120"/>
        <w:rPr>
          <w:lang w:val="en-US"/>
        </w:rPr>
      </w:pPr>
      <w:r w:rsidRPr="00EE62B6">
        <w:rPr>
          <w:i/>
          <w:iCs/>
          <w:lang w:val="en-US"/>
        </w:rPr>
        <w:t>2.2.1. Studying isolated subcycles</w:t>
      </w:r>
    </w:p>
    <w:p w14:paraId="3F39024D" w14:textId="77777777" w:rsidR="00040634" w:rsidRPr="00EE62B6" w:rsidRDefault="00713A59">
      <w:pPr>
        <w:spacing w:after="160"/>
        <w:jc w:val="both"/>
        <w:rPr>
          <w:lang w:val="en-US"/>
        </w:rPr>
      </w:pPr>
      <w:r w:rsidRPr="00EE62B6">
        <w:rPr>
          <w:lang w:val="en-US"/>
        </w:rPr>
        <w:t>After the war, cycles were generally studied in isolation, with most attention devoted to the business cycle and the K-wave. Other documented cycles are the Kitchin (av. 3 yrs.), Juglar (8 yrs.), bootstrap (13 yrs.), Kuznets (21 yrs.), societal (34 yrs.), four-generation-cohort (90 yrs.) and war-and-hegemony cycle (145 yrs.) (Kitchin, 1923; Juglar, 1862; Forrester, 1977; Haustein and Neuwirth, 1982; Kuznets, 1930; Devezas and Corredine, 2001, 2002; Howe and Strauss, 2000; Strauss and Howe, 1992, 2009; Goldstein, 1988, 2003, 2006).</w:t>
      </w:r>
    </w:p>
    <w:p w14:paraId="091A10DA" w14:textId="3F56D9E2" w:rsidR="00040634" w:rsidRPr="00EE62B6" w:rsidRDefault="00713A59">
      <w:pPr>
        <w:spacing w:after="160"/>
        <w:jc w:val="both"/>
        <w:rPr>
          <w:lang w:val="en-US"/>
        </w:rPr>
      </w:pPr>
      <w:r w:rsidRPr="00EE62B6">
        <w:rPr>
          <w:lang w:val="en-US"/>
        </w:rPr>
        <w:t xml:space="preserve">The business cycle, with an average length of approximately 5 years, is the most prominent </w:t>
      </w:r>
      <w:proofErr w:type="spellStart"/>
      <w:r w:rsidRPr="00EE62B6">
        <w:rPr>
          <w:lang w:val="en-US"/>
        </w:rPr>
        <w:t>subcycle</w:t>
      </w:r>
      <w:proofErr w:type="spellEnd"/>
      <w:r w:rsidRPr="00EE62B6">
        <w:rPr>
          <w:lang w:val="en-US"/>
        </w:rPr>
        <w:t xml:space="preserve"> in terms of amplitude. Much research has focused on forecasting its turning points (Mitchell and Burns, 1938; Hamilton, 1989; King et al., 1991; Stock and Watson, 1989). Real business cycle theory regards business cycle fluctuations as an efficient response to exogenous shocks (Kydland and Prescott, 1982; Mankiw, 1989) — an idea that goes back to Frisch (1933a).</w:t>
      </w:r>
    </w:p>
    <w:p w14:paraId="48053C9C" w14:textId="5689EE9C" w:rsidR="00040634" w:rsidRPr="00EE62B6" w:rsidRDefault="00713A59">
      <w:pPr>
        <w:spacing w:after="160"/>
        <w:jc w:val="both"/>
        <w:rPr>
          <w:lang w:val="en-US"/>
        </w:rPr>
      </w:pPr>
      <w:r w:rsidRPr="00EE62B6">
        <w:rPr>
          <w:lang w:val="en-US"/>
        </w:rPr>
        <w:t>The Kondratieff-wave literature centers on evidence for its existence and on possible driving forces; the topic has remained contested since Kondratieff's time (Garvy, 1943). For an extensive overview, see Coccia (2018); Grinin et al. (2017); De Groot and Franses (2012).</w:t>
      </w:r>
    </w:p>
    <w:p w14:paraId="0BF2F61B" w14:textId="77777777" w:rsidR="00040634" w:rsidRPr="00EE62B6" w:rsidRDefault="00713A59">
      <w:pPr>
        <w:pStyle w:val="Kop3"/>
        <w:spacing w:before="220" w:after="120"/>
        <w:rPr>
          <w:lang w:val="en-US"/>
        </w:rPr>
      </w:pPr>
      <w:r w:rsidRPr="00EE62B6">
        <w:rPr>
          <w:i/>
          <w:iCs/>
          <w:lang w:val="en-US"/>
        </w:rPr>
        <w:t>2.2.2. Theoretical work on multi-structured cycles</w:t>
      </w:r>
    </w:p>
    <w:p w14:paraId="02D81D97" w14:textId="611D8D70" w:rsidR="00040634" w:rsidRPr="00EE62B6" w:rsidRDefault="00713A59">
      <w:pPr>
        <w:spacing w:after="160"/>
        <w:jc w:val="both"/>
        <w:rPr>
          <w:lang w:val="en-US"/>
        </w:rPr>
      </w:pPr>
      <w:r w:rsidRPr="00EE62B6">
        <w:rPr>
          <w:lang w:val="en-US"/>
        </w:rPr>
        <w:t xml:space="preserve">Forrester (1977) hypothesized that cycles align through entrainment into a locked solution with multiple lengths — much like pendulum clocks that synchronize in the same room. </w:t>
      </w:r>
      <w:proofErr w:type="spellStart"/>
      <w:r>
        <w:t>Mosekilde</w:t>
      </w:r>
      <w:proofErr w:type="spellEnd"/>
      <w:r>
        <w:t xml:space="preserve"> et al. (1992) modeled this mathematically. </w:t>
      </w:r>
      <w:r w:rsidRPr="00EE62B6">
        <w:rPr>
          <w:lang w:val="en-US"/>
        </w:rPr>
        <w:t>Larsen and Haxholdt (1997) demonstrated mode-locking in the Goodwin business cycle model (Goodwin, 1951). Berry (2000) introduced the notion of a pacemaker, a cyclical actor that forces other cycles into synchronization.</w:t>
      </w:r>
    </w:p>
    <w:p w14:paraId="37F3CAAD" w14:textId="510F781F" w:rsidR="00040634" w:rsidRPr="00EE62B6" w:rsidRDefault="00713A59">
      <w:pPr>
        <w:spacing w:after="160"/>
        <w:jc w:val="both"/>
        <w:rPr>
          <w:lang w:val="en-US"/>
        </w:rPr>
      </w:pPr>
      <w:r w:rsidRPr="00EE62B6">
        <w:rPr>
          <w:lang w:val="en-US"/>
        </w:rPr>
        <w:t xml:space="preserve">Other researchers instead fitted cycles together like pieces of a jigsaw puzzle (Reijnders, 1990): Van Duijn (1983) states that a Kondratieff wave consists of five Juglar cycles; Berry and Kim (1994) and Berry et al. (1993) combine generational waves (Strauss and Howe, 1992) with the Kondratieff wave. </w:t>
      </w:r>
      <w:proofErr w:type="spellStart"/>
      <w:r w:rsidRPr="00EE62B6">
        <w:rPr>
          <w:lang w:val="en-US"/>
        </w:rPr>
        <w:t>Tylecote</w:t>
      </w:r>
      <w:proofErr w:type="spellEnd"/>
      <w:r w:rsidRPr="00EE62B6">
        <w:rPr>
          <w:lang w:val="en-US"/>
        </w:rPr>
        <w:t xml:space="preserve"> (1994, 2013) places Kuznets swings within the Kondratieff wave and Kondratieff waves within hegemony waves (see also Goldstein, 1988; Thompson, 1990; Wallerstein, 1983).</w:t>
      </w:r>
    </w:p>
    <w:p w14:paraId="1EB317C2" w14:textId="46F9BC3B" w:rsidR="00040634" w:rsidRPr="00EE62B6" w:rsidRDefault="00713A59">
      <w:pPr>
        <w:spacing w:after="160"/>
        <w:jc w:val="both"/>
        <w:rPr>
          <w:lang w:val="en-US"/>
        </w:rPr>
      </w:pPr>
      <w:r w:rsidRPr="00EE62B6">
        <w:rPr>
          <w:lang w:val="en-US"/>
        </w:rPr>
        <w:t xml:space="preserve">Grinin and Korotayev (2014) and Grinin et al. (2016) modeled the interaction between the Juglar cycle and the Kondratieff </w:t>
      </w:r>
      <w:r w:rsidR="00EE62B6" w:rsidRPr="00EE62B6">
        <w:rPr>
          <w:lang w:val="en-US"/>
        </w:rPr>
        <w:t>wave and</w:t>
      </w:r>
      <w:r w:rsidRPr="00EE62B6">
        <w:rPr>
          <w:lang w:val="en-US"/>
        </w:rPr>
        <w:t xml:space="preserve"> showed how the investment cycle affects the cycles in GDP, even though crises cannot occur without exogenous impulses.</w:t>
      </w:r>
    </w:p>
    <w:p w14:paraId="57A32DD7" w14:textId="77777777" w:rsidR="00040634" w:rsidRPr="00EE62B6" w:rsidRDefault="00713A59">
      <w:pPr>
        <w:pStyle w:val="Kop3"/>
        <w:spacing w:before="220" w:after="120"/>
        <w:rPr>
          <w:lang w:val="en-US"/>
        </w:rPr>
      </w:pPr>
      <w:r w:rsidRPr="00EE62B6">
        <w:rPr>
          <w:i/>
          <w:iCs/>
          <w:lang w:val="en-US"/>
        </w:rPr>
        <w:t>2.2.3. Empirical work on multi-structured cycles</w:t>
      </w:r>
    </w:p>
    <w:p w14:paraId="2A226C12" w14:textId="3383A940" w:rsidR="00040634" w:rsidRPr="00EE62B6" w:rsidRDefault="00713A59">
      <w:pPr>
        <w:spacing w:after="160"/>
        <w:jc w:val="both"/>
        <w:rPr>
          <w:lang w:val="en-US"/>
        </w:rPr>
      </w:pPr>
      <w:r w:rsidRPr="00EE62B6">
        <w:rPr>
          <w:lang w:val="en-US"/>
        </w:rPr>
        <w:t>With new econometric methods, the lengths and amplitudes of subcycles have been measured in numerous studies, but little attention has been paid to their interrelationship. Table 1 presents a meta-analysis of publications in which two or more subcycles were econometrically measured in the same time series, with the ratios between consecutive cycle lengths (ordered from small to large). Standard errors are not available, so the ratios must be interpreted with caution.</w:t>
      </w:r>
    </w:p>
    <w:p w14:paraId="0598B5A6" w14:textId="10E55DFB" w:rsidR="00040634" w:rsidRPr="00EE62B6" w:rsidRDefault="00713A59">
      <w:pPr>
        <w:spacing w:after="160"/>
        <w:jc w:val="both"/>
        <w:rPr>
          <w:lang w:val="en-US"/>
        </w:rPr>
      </w:pPr>
      <w:r w:rsidRPr="00EE62B6">
        <w:rPr>
          <w:lang w:val="en-US"/>
        </w:rPr>
        <w:t xml:space="preserve">Kuczynski (1978) found cycles of 2 to 60 years in worldwide production, consumption and innovation data, of which only the 2- and 8-year cycles are multiples of each other. Haustein and Neuwirth (1982) identified </w:t>
      </w:r>
      <w:r w:rsidRPr="00EE62B6">
        <w:rPr>
          <w:lang w:val="en-US"/>
        </w:rPr>
        <w:lastRenderedPageBreak/>
        <w:t xml:space="preserve">five cycles attributed to innovation in industrial production. </w:t>
      </w:r>
      <w:proofErr w:type="spellStart"/>
      <w:r w:rsidRPr="00EE62B6">
        <w:rPr>
          <w:lang w:val="en-US"/>
        </w:rPr>
        <w:t>Solomou</w:t>
      </w:r>
      <w:proofErr w:type="spellEnd"/>
      <w:r w:rsidRPr="00EE62B6">
        <w:rPr>
          <w:lang w:val="en-US"/>
        </w:rPr>
        <w:t xml:space="preserve"> (1998) found varying cycle lengths in the GDP of Germany, France, the UK and the US. Berry (2000) and Berry et al. (2001) found strongly coupled inflation cycles of 6, 9 and 18 years. De Groot and Franses (2008, 2009) found cycle lengths in macro-indicators and innovation data that align remarkably well with the Fibonacci sequence. Korotayev and </w:t>
      </w:r>
      <w:proofErr w:type="spellStart"/>
      <w:r w:rsidRPr="00EE62B6">
        <w:rPr>
          <w:lang w:val="en-US"/>
        </w:rPr>
        <w:t>Tsirel</w:t>
      </w:r>
      <w:proofErr w:type="spellEnd"/>
      <w:r w:rsidRPr="00EE62B6">
        <w:rPr>
          <w:lang w:val="en-US"/>
        </w:rPr>
        <w:t xml:space="preserve"> (2010) detected not-closely-coupled Kondratieff-wave, Juglar and Kitchin cycles in worldwide GDP dynamics.</w:t>
      </w:r>
    </w:p>
    <w:p w14:paraId="3B55155E" w14:textId="578469E2" w:rsidR="00040634" w:rsidRPr="00EE62B6" w:rsidRDefault="00713A59" w:rsidP="00CA78D5">
      <w:pPr>
        <w:spacing w:before="200" w:after="100"/>
        <w:rPr>
          <w:lang w:val="en-US"/>
        </w:rPr>
      </w:pPr>
      <w:r w:rsidRPr="00EE62B6">
        <w:rPr>
          <w:b/>
          <w:bCs/>
          <w:lang w:val="en-US"/>
        </w:rPr>
        <w:t>Table 1</w:t>
      </w:r>
      <w:r w:rsidRPr="00EE62B6">
        <w:rPr>
          <w:b/>
          <w:bCs/>
          <w:lang w:val="en-US"/>
        </w:rPr>
        <w:br/>
        <w:t>Ratios between the lengths of subcycles found in the literature.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63"/>
        <w:gridCol w:w="2139"/>
        <w:gridCol w:w="1604"/>
        <w:gridCol w:w="1962"/>
        <w:gridCol w:w="1960"/>
      </w:tblGrid>
      <w:tr w:rsidR="00040634" w:rsidRPr="00CA78D5" w14:paraId="7A3337F8" w14:textId="77777777" w:rsidTr="00CA78D5">
        <w:trPr>
          <w:tblHeader/>
        </w:trPr>
        <w:tc>
          <w:tcPr>
            <w:tcW w:w="1019" w:type="pct"/>
            <w:shd w:val="clear" w:color="auto" w:fill="D9D9D9"/>
          </w:tcPr>
          <w:p w14:paraId="4A219ACE" w14:textId="77777777" w:rsidR="00040634" w:rsidRPr="00CA78D5" w:rsidRDefault="00713A59">
            <w:pPr>
              <w:rPr>
                <w:sz w:val="20"/>
                <w:szCs w:val="20"/>
              </w:rPr>
            </w:pPr>
            <w:proofErr w:type="spellStart"/>
            <w:r>
              <w:rPr>
                <w:b/>
                <w:bCs/>
                <w:sz w:val="20"/>
                <w:szCs w:val="20"/>
              </w:rPr>
              <w:t>Publication</w:t>
            </w:r>
            <w:proofErr w:type="spellEnd"/>
          </w:p>
        </w:tc>
        <w:tc>
          <w:tcPr>
            <w:tcW w:w="1111" w:type="pct"/>
            <w:shd w:val="clear" w:color="auto" w:fill="D9D9D9"/>
          </w:tcPr>
          <w:p w14:paraId="063C9AA5" w14:textId="77777777" w:rsidR="00040634" w:rsidRPr="00CA78D5" w:rsidRDefault="00713A59">
            <w:pPr>
              <w:rPr>
                <w:sz w:val="20"/>
                <w:szCs w:val="20"/>
              </w:rPr>
            </w:pPr>
            <w:r>
              <w:rPr>
                <w:b/>
                <w:bCs/>
                <w:sz w:val="20"/>
                <w:szCs w:val="20"/>
              </w:rPr>
              <w:t>Variable(s)</w:t>
            </w:r>
          </w:p>
        </w:tc>
        <w:tc>
          <w:tcPr>
            <w:tcW w:w="833" w:type="pct"/>
            <w:shd w:val="clear" w:color="auto" w:fill="D9D9D9"/>
          </w:tcPr>
          <w:p w14:paraId="5E055C32" w14:textId="77777777" w:rsidR="00040634" w:rsidRPr="00CA78D5" w:rsidRDefault="00713A59">
            <w:pPr>
              <w:rPr>
                <w:sz w:val="20"/>
                <w:szCs w:val="20"/>
              </w:rPr>
            </w:pPr>
            <w:r>
              <w:rPr>
                <w:b/>
                <w:bCs/>
                <w:sz w:val="20"/>
                <w:szCs w:val="20"/>
              </w:rPr>
              <w:t>Country</w:t>
            </w:r>
          </w:p>
        </w:tc>
        <w:tc>
          <w:tcPr>
            <w:tcW w:w="1019" w:type="pct"/>
            <w:shd w:val="clear" w:color="auto" w:fill="D9D9D9"/>
          </w:tcPr>
          <w:p w14:paraId="0EAEC31B" w14:textId="3477CB10" w:rsidR="00040634" w:rsidRPr="00CA78D5" w:rsidRDefault="00B462F6">
            <w:pPr>
              <w:rPr>
                <w:sz w:val="20"/>
                <w:szCs w:val="20"/>
              </w:rPr>
            </w:pPr>
            <w:r>
              <w:rPr>
                <w:b/>
                <w:bCs/>
                <w:sz w:val="20"/>
                <w:szCs w:val="20"/>
              </w:rPr>
              <w:t>Cycle lengths</w:t>
            </w:r>
          </w:p>
        </w:tc>
        <w:tc>
          <w:tcPr>
            <w:tcW w:w="1019" w:type="pct"/>
            <w:shd w:val="clear" w:color="auto" w:fill="D9D9D9"/>
          </w:tcPr>
          <w:p w14:paraId="617FAD96" w14:textId="4BF6F2D4" w:rsidR="00040634" w:rsidRPr="00CA78D5" w:rsidRDefault="00713A59">
            <w:pPr>
              <w:rPr>
                <w:sz w:val="20"/>
                <w:szCs w:val="20"/>
              </w:rPr>
            </w:pPr>
            <w:r>
              <w:rPr>
                <w:b/>
                <w:bCs/>
                <w:sz w:val="20"/>
                <w:szCs w:val="20"/>
              </w:rPr>
              <w:t>Cycle length ratios</w:t>
            </w:r>
          </w:p>
        </w:tc>
      </w:tr>
      <w:tr w:rsidR="00040634" w:rsidRPr="00CA78D5" w14:paraId="3E531B7B" w14:textId="77777777" w:rsidTr="00CA78D5">
        <w:tc>
          <w:tcPr>
            <w:tcW w:w="1019" w:type="pct"/>
          </w:tcPr>
          <w:p w14:paraId="19F71530" w14:textId="77777777" w:rsidR="00040634" w:rsidRPr="00CA78D5" w:rsidRDefault="00713A59">
            <w:pPr>
              <w:rPr>
                <w:sz w:val="20"/>
                <w:szCs w:val="20"/>
              </w:rPr>
            </w:pPr>
            <w:r>
              <w:rPr>
                <w:sz w:val="20"/>
                <w:szCs w:val="20"/>
              </w:rPr>
              <w:t>Kuczynski (1978)</w:t>
            </w:r>
          </w:p>
        </w:tc>
        <w:tc>
          <w:tcPr>
            <w:tcW w:w="1111" w:type="pct"/>
          </w:tcPr>
          <w:p w14:paraId="36F4A216" w14:textId="77777777" w:rsidR="00040634" w:rsidRPr="00CA78D5" w:rsidRDefault="00713A59">
            <w:pPr>
              <w:rPr>
                <w:sz w:val="20"/>
                <w:szCs w:val="20"/>
              </w:rPr>
            </w:pPr>
            <w:r>
              <w:rPr>
                <w:sz w:val="20"/>
                <w:szCs w:val="20"/>
              </w:rPr>
              <w:t>Consumption, innovation, invention, production</w:t>
            </w:r>
          </w:p>
        </w:tc>
        <w:tc>
          <w:tcPr>
            <w:tcW w:w="833" w:type="pct"/>
          </w:tcPr>
          <w:p w14:paraId="61FB030D" w14:textId="77777777" w:rsidR="00040634" w:rsidRPr="00CA78D5" w:rsidRDefault="00713A59">
            <w:pPr>
              <w:rPr>
                <w:sz w:val="20"/>
                <w:szCs w:val="20"/>
              </w:rPr>
            </w:pPr>
            <w:r>
              <w:rPr>
                <w:sz w:val="20"/>
                <w:szCs w:val="20"/>
              </w:rPr>
              <w:t>World</w:t>
            </w:r>
          </w:p>
        </w:tc>
        <w:tc>
          <w:tcPr>
            <w:tcW w:w="1019" w:type="pct"/>
          </w:tcPr>
          <w:p w14:paraId="75B0FA7D" w14:textId="77777777" w:rsidR="00040634" w:rsidRPr="00CA78D5" w:rsidRDefault="00713A59">
            <w:pPr>
              <w:rPr>
                <w:sz w:val="20"/>
                <w:szCs w:val="20"/>
              </w:rPr>
            </w:pPr>
            <w:r>
              <w:rPr>
                <w:sz w:val="20"/>
                <w:szCs w:val="20"/>
              </w:rPr>
              <w:t>2, 8, 9, 23, 60</w:t>
            </w:r>
          </w:p>
        </w:tc>
        <w:tc>
          <w:tcPr>
            <w:tcW w:w="1019" w:type="pct"/>
          </w:tcPr>
          <w:p w14:paraId="2186756A" w14:textId="77777777" w:rsidR="00040634" w:rsidRPr="00CA78D5" w:rsidRDefault="00713A59">
            <w:pPr>
              <w:rPr>
                <w:sz w:val="20"/>
                <w:szCs w:val="20"/>
              </w:rPr>
            </w:pPr>
            <w:r>
              <w:rPr>
                <w:sz w:val="20"/>
                <w:szCs w:val="20"/>
              </w:rPr>
              <w:t>1.13, 2.56, 2.61, 4.00</w:t>
            </w:r>
          </w:p>
        </w:tc>
      </w:tr>
      <w:tr w:rsidR="00040634" w:rsidRPr="00CA78D5" w14:paraId="5E68F011" w14:textId="77777777" w:rsidTr="00CA78D5">
        <w:tc>
          <w:tcPr>
            <w:tcW w:w="1019" w:type="pct"/>
          </w:tcPr>
          <w:p w14:paraId="15520B76" w14:textId="77777777" w:rsidR="00040634" w:rsidRPr="00CA78D5" w:rsidRDefault="00713A59">
            <w:pPr>
              <w:rPr>
                <w:sz w:val="20"/>
                <w:szCs w:val="20"/>
              </w:rPr>
            </w:pPr>
            <w:r>
              <w:rPr>
                <w:sz w:val="20"/>
                <w:szCs w:val="20"/>
              </w:rPr>
              <w:t>Haustein and Neuwirth (1982)</w:t>
            </w:r>
          </w:p>
        </w:tc>
        <w:tc>
          <w:tcPr>
            <w:tcW w:w="1111" w:type="pct"/>
          </w:tcPr>
          <w:p w14:paraId="078E762D" w14:textId="77777777" w:rsidR="00040634" w:rsidRPr="00CA78D5" w:rsidRDefault="00713A59">
            <w:pPr>
              <w:rPr>
                <w:sz w:val="20"/>
                <w:szCs w:val="20"/>
              </w:rPr>
            </w:pPr>
            <w:r>
              <w:rPr>
                <w:sz w:val="20"/>
                <w:szCs w:val="20"/>
              </w:rPr>
              <w:t>Industrial production</w:t>
            </w:r>
          </w:p>
        </w:tc>
        <w:tc>
          <w:tcPr>
            <w:tcW w:w="833" w:type="pct"/>
          </w:tcPr>
          <w:p w14:paraId="7F585AAF" w14:textId="77777777" w:rsidR="00040634" w:rsidRPr="00CA78D5" w:rsidRDefault="00713A59">
            <w:pPr>
              <w:rPr>
                <w:sz w:val="20"/>
                <w:szCs w:val="20"/>
              </w:rPr>
            </w:pPr>
            <w:r>
              <w:rPr>
                <w:sz w:val="20"/>
                <w:szCs w:val="20"/>
              </w:rPr>
              <w:t>World</w:t>
            </w:r>
          </w:p>
        </w:tc>
        <w:tc>
          <w:tcPr>
            <w:tcW w:w="1019" w:type="pct"/>
          </w:tcPr>
          <w:p w14:paraId="7B9BF092" w14:textId="77777777" w:rsidR="00040634" w:rsidRPr="00CA78D5" w:rsidRDefault="00713A59">
            <w:pPr>
              <w:rPr>
                <w:sz w:val="20"/>
                <w:szCs w:val="20"/>
              </w:rPr>
            </w:pPr>
            <w:r>
              <w:rPr>
                <w:sz w:val="20"/>
                <w:szCs w:val="20"/>
              </w:rPr>
              <w:t>7, 13, 20, 32, 53</w:t>
            </w:r>
          </w:p>
        </w:tc>
        <w:tc>
          <w:tcPr>
            <w:tcW w:w="1019" w:type="pct"/>
          </w:tcPr>
          <w:p w14:paraId="2868FAC4" w14:textId="77777777" w:rsidR="00040634" w:rsidRPr="00CA78D5" w:rsidRDefault="00713A59">
            <w:pPr>
              <w:rPr>
                <w:sz w:val="20"/>
                <w:szCs w:val="20"/>
              </w:rPr>
            </w:pPr>
            <w:r>
              <w:rPr>
                <w:sz w:val="20"/>
                <w:szCs w:val="20"/>
              </w:rPr>
              <w:t>1.54, 1.60, 1.66, 1.86, 2.35</w:t>
            </w:r>
          </w:p>
        </w:tc>
      </w:tr>
      <w:tr w:rsidR="00040634" w:rsidRPr="00CA78D5" w14:paraId="2BE324EB" w14:textId="77777777" w:rsidTr="00CA78D5">
        <w:tc>
          <w:tcPr>
            <w:tcW w:w="1019" w:type="pct"/>
          </w:tcPr>
          <w:p w14:paraId="7ACEA539" w14:textId="77777777" w:rsidR="00040634" w:rsidRPr="00CA78D5" w:rsidRDefault="00713A59">
            <w:pPr>
              <w:rPr>
                <w:sz w:val="20"/>
                <w:szCs w:val="20"/>
              </w:rPr>
            </w:pPr>
            <w:r>
              <w:rPr>
                <w:sz w:val="20"/>
                <w:szCs w:val="20"/>
              </w:rPr>
              <w:t>Solomou (1998)</w:t>
            </w:r>
          </w:p>
        </w:tc>
        <w:tc>
          <w:tcPr>
            <w:tcW w:w="1111" w:type="pct"/>
          </w:tcPr>
          <w:p w14:paraId="64A56EDF" w14:textId="6897115E" w:rsidR="00040634" w:rsidRPr="00CA78D5" w:rsidRDefault="00CA6ECA">
            <w:pPr>
              <w:rPr>
                <w:sz w:val="20"/>
                <w:szCs w:val="20"/>
              </w:rPr>
            </w:pPr>
            <w:r>
              <w:rPr>
                <w:sz w:val="20"/>
                <w:szCs w:val="20"/>
              </w:rPr>
              <w:t>GDP</w:t>
            </w:r>
          </w:p>
        </w:tc>
        <w:tc>
          <w:tcPr>
            <w:tcW w:w="833" w:type="pct"/>
          </w:tcPr>
          <w:p w14:paraId="399B41E5" w14:textId="5C96CF0B" w:rsidR="00040634" w:rsidRPr="00CA78D5" w:rsidRDefault="00F00EC5">
            <w:pPr>
              <w:rPr>
                <w:sz w:val="20"/>
                <w:szCs w:val="20"/>
              </w:rPr>
            </w:pPr>
            <w:r>
              <w:rPr>
                <w:sz w:val="20"/>
                <w:szCs w:val="20"/>
              </w:rPr>
              <w:t>Germany</w:t>
            </w:r>
          </w:p>
        </w:tc>
        <w:tc>
          <w:tcPr>
            <w:tcW w:w="1019" w:type="pct"/>
          </w:tcPr>
          <w:p w14:paraId="143BC2B7" w14:textId="77777777" w:rsidR="00040634" w:rsidRPr="00CA78D5" w:rsidRDefault="00713A59">
            <w:pPr>
              <w:rPr>
                <w:sz w:val="20"/>
                <w:szCs w:val="20"/>
              </w:rPr>
            </w:pPr>
            <w:r>
              <w:rPr>
                <w:sz w:val="20"/>
                <w:szCs w:val="20"/>
              </w:rPr>
              <w:t>10.8, 23.8</w:t>
            </w:r>
          </w:p>
        </w:tc>
        <w:tc>
          <w:tcPr>
            <w:tcW w:w="1019" w:type="pct"/>
          </w:tcPr>
          <w:p w14:paraId="53A995C2" w14:textId="77777777" w:rsidR="00040634" w:rsidRPr="00CA78D5" w:rsidRDefault="00713A59">
            <w:pPr>
              <w:rPr>
                <w:sz w:val="20"/>
                <w:szCs w:val="20"/>
              </w:rPr>
            </w:pPr>
            <w:r>
              <w:rPr>
                <w:sz w:val="20"/>
                <w:szCs w:val="20"/>
              </w:rPr>
              <w:t>2.20</w:t>
            </w:r>
          </w:p>
        </w:tc>
      </w:tr>
      <w:tr w:rsidR="00040634" w:rsidRPr="00CA78D5" w14:paraId="596E95CF" w14:textId="77777777" w:rsidTr="00CA78D5">
        <w:tc>
          <w:tcPr>
            <w:tcW w:w="1019" w:type="pct"/>
          </w:tcPr>
          <w:p w14:paraId="440C255C" w14:textId="77777777" w:rsidR="00040634" w:rsidRPr="00CA78D5" w:rsidRDefault="00040634">
            <w:pPr>
              <w:rPr>
                <w:sz w:val="20"/>
                <w:szCs w:val="20"/>
              </w:rPr>
            </w:pPr>
          </w:p>
        </w:tc>
        <w:tc>
          <w:tcPr>
            <w:tcW w:w="1111" w:type="pct"/>
          </w:tcPr>
          <w:p w14:paraId="21021A08" w14:textId="77777777" w:rsidR="00040634" w:rsidRPr="00CA78D5" w:rsidRDefault="00040634">
            <w:pPr>
              <w:rPr>
                <w:sz w:val="20"/>
                <w:szCs w:val="20"/>
              </w:rPr>
            </w:pPr>
          </w:p>
        </w:tc>
        <w:tc>
          <w:tcPr>
            <w:tcW w:w="833" w:type="pct"/>
          </w:tcPr>
          <w:p w14:paraId="68AD760D" w14:textId="14F34AA7" w:rsidR="00040634" w:rsidRPr="00CA78D5" w:rsidRDefault="00713A59">
            <w:pPr>
              <w:rPr>
                <w:sz w:val="20"/>
                <w:szCs w:val="20"/>
              </w:rPr>
            </w:pPr>
            <w:r>
              <w:rPr>
                <w:sz w:val="20"/>
                <w:szCs w:val="20"/>
              </w:rPr>
              <w:t>France</w:t>
            </w:r>
          </w:p>
        </w:tc>
        <w:tc>
          <w:tcPr>
            <w:tcW w:w="1019" w:type="pct"/>
          </w:tcPr>
          <w:p w14:paraId="6196C60F" w14:textId="77777777" w:rsidR="00040634" w:rsidRPr="00CA78D5" w:rsidRDefault="00713A59">
            <w:pPr>
              <w:rPr>
                <w:sz w:val="20"/>
                <w:szCs w:val="20"/>
              </w:rPr>
            </w:pPr>
            <w:r>
              <w:rPr>
                <w:sz w:val="20"/>
                <w:szCs w:val="20"/>
              </w:rPr>
              <w:t>4.5, 7.7, 20</w:t>
            </w:r>
          </w:p>
        </w:tc>
        <w:tc>
          <w:tcPr>
            <w:tcW w:w="1019" w:type="pct"/>
          </w:tcPr>
          <w:p w14:paraId="70391885" w14:textId="77777777" w:rsidR="00040634" w:rsidRPr="00CA78D5" w:rsidRDefault="00713A59">
            <w:pPr>
              <w:rPr>
                <w:sz w:val="20"/>
                <w:szCs w:val="20"/>
              </w:rPr>
            </w:pPr>
            <w:r>
              <w:rPr>
                <w:sz w:val="20"/>
                <w:szCs w:val="20"/>
              </w:rPr>
              <w:t>1.71, 2.60</w:t>
            </w:r>
          </w:p>
        </w:tc>
      </w:tr>
      <w:tr w:rsidR="00040634" w:rsidRPr="00CA78D5" w14:paraId="479B8415" w14:textId="77777777" w:rsidTr="00CA78D5">
        <w:tc>
          <w:tcPr>
            <w:tcW w:w="1019" w:type="pct"/>
          </w:tcPr>
          <w:p w14:paraId="02760AD5" w14:textId="77777777" w:rsidR="00040634" w:rsidRPr="00CA78D5" w:rsidRDefault="00040634">
            <w:pPr>
              <w:rPr>
                <w:sz w:val="20"/>
                <w:szCs w:val="20"/>
              </w:rPr>
            </w:pPr>
          </w:p>
        </w:tc>
        <w:tc>
          <w:tcPr>
            <w:tcW w:w="1111" w:type="pct"/>
          </w:tcPr>
          <w:p w14:paraId="058A3EB0" w14:textId="77777777" w:rsidR="00040634" w:rsidRPr="00CA78D5" w:rsidRDefault="00040634">
            <w:pPr>
              <w:rPr>
                <w:sz w:val="20"/>
                <w:szCs w:val="20"/>
              </w:rPr>
            </w:pPr>
          </w:p>
        </w:tc>
        <w:tc>
          <w:tcPr>
            <w:tcW w:w="833" w:type="pct"/>
          </w:tcPr>
          <w:p w14:paraId="239386FC" w14:textId="331C5A7A" w:rsidR="00040634" w:rsidRPr="00CA78D5" w:rsidRDefault="00F00EC5">
            <w:pPr>
              <w:rPr>
                <w:sz w:val="20"/>
                <w:szCs w:val="20"/>
              </w:rPr>
            </w:pPr>
            <w:r>
              <w:rPr>
                <w:sz w:val="20"/>
                <w:szCs w:val="20"/>
              </w:rPr>
              <w:t>UK</w:t>
            </w:r>
          </w:p>
        </w:tc>
        <w:tc>
          <w:tcPr>
            <w:tcW w:w="1019" w:type="pct"/>
          </w:tcPr>
          <w:p w14:paraId="6DAE3FFC" w14:textId="77777777" w:rsidR="00040634" w:rsidRPr="00CA78D5" w:rsidRDefault="00713A59">
            <w:pPr>
              <w:rPr>
                <w:sz w:val="20"/>
                <w:szCs w:val="20"/>
              </w:rPr>
            </w:pPr>
            <w:r>
              <w:rPr>
                <w:sz w:val="20"/>
                <w:szCs w:val="20"/>
              </w:rPr>
              <w:t>8.6, 24.6</w:t>
            </w:r>
          </w:p>
        </w:tc>
        <w:tc>
          <w:tcPr>
            <w:tcW w:w="1019" w:type="pct"/>
          </w:tcPr>
          <w:p w14:paraId="50D99E52" w14:textId="77777777" w:rsidR="00040634" w:rsidRPr="00CA78D5" w:rsidRDefault="00713A59">
            <w:pPr>
              <w:rPr>
                <w:sz w:val="20"/>
                <w:szCs w:val="20"/>
              </w:rPr>
            </w:pPr>
            <w:r>
              <w:rPr>
                <w:sz w:val="20"/>
                <w:szCs w:val="20"/>
              </w:rPr>
              <w:t>2.86</w:t>
            </w:r>
          </w:p>
        </w:tc>
      </w:tr>
      <w:tr w:rsidR="00040634" w:rsidRPr="00CA78D5" w14:paraId="427BBD8A" w14:textId="77777777" w:rsidTr="00CA78D5">
        <w:tc>
          <w:tcPr>
            <w:tcW w:w="1019" w:type="pct"/>
          </w:tcPr>
          <w:p w14:paraId="342700BB" w14:textId="77777777" w:rsidR="00040634" w:rsidRPr="00CA78D5" w:rsidRDefault="00040634">
            <w:pPr>
              <w:rPr>
                <w:sz w:val="20"/>
                <w:szCs w:val="20"/>
              </w:rPr>
            </w:pPr>
          </w:p>
        </w:tc>
        <w:tc>
          <w:tcPr>
            <w:tcW w:w="1111" w:type="pct"/>
          </w:tcPr>
          <w:p w14:paraId="5753DD60" w14:textId="77777777" w:rsidR="00040634" w:rsidRPr="00CA78D5" w:rsidRDefault="00040634">
            <w:pPr>
              <w:rPr>
                <w:sz w:val="20"/>
                <w:szCs w:val="20"/>
              </w:rPr>
            </w:pPr>
          </w:p>
        </w:tc>
        <w:tc>
          <w:tcPr>
            <w:tcW w:w="833" w:type="pct"/>
          </w:tcPr>
          <w:p w14:paraId="476084BD" w14:textId="1D818A31" w:rsidR="00040634" w:rsidRPr="00CA78D5" w:rsidRDefault="00F00EC5">
            <w:pPr>
              <w:rPr>
                <w:sz w:val="20"/>
                <w:szCs w:val="20"/>
              </w:rPr>
            </w:pPr>
            <w:r>
              <w:rPr>
                <w:sz w:val="20"/>
                <w:szCs w:val="20"/>
              </w:rPr>
              <w:t>US</w:t>
            </w:r>
          </w:p>
        </w:tc>
        <w:tc>
          <w:tcPr>
            <w:tcW w:w="1019" w:type="pct"/>
          </w:tcPr>
          <w:p w14:paraId="5CD130D5" w14:textId="77777777" w:rsidR="00040634" w:rsidRPr="00CA78D5" w:rsidRDefault="00713A59">
            <w:pPr>
              <w:rPr>
                <w:sz w:val="20"/>
                <w:szCs w:val="20"/>
              </w:rPr>
            </w:pPr>
            <w:r>
              <w:rPr>
                <w:sz w:val="20"/>
                <w:szCs w:val="20"/>
              </w:rPr>
              <w:t>5.0, 10.8, 19.2</w:t>
            </w:r>
          </w:p>
        </w:tc>
        <w:tc>
          <w:tcPr>
            <w:tcW w:w="1019" w:type="pct"/>
          </w:tcPr>
          <w:p w14:paraId="604B43FA" w14:textId="77777777" w:rsidR="00040634" w:rsidRPr="00CA78D5" w:rsidRDefault="00713A59">
            <w:pPr>
              <w:rPr>
                <w:sz w:val="20"/>
                <w:szCs w:val="20"/>
              </w:rPr>
            </w:pPr>
            <w:r>
              <w:rPr>
                <w:sz w:val="20"/>
                <w:szCs w:val="20"/>
              </w:rPr>
              <w:t>1.78, 2.16</w:t>
            </w:r>
          </w:p>
        </w:tc>
      </w:tr>
      <w:tr w:rsidR="00040634" w:rsidRPr="00CA78D5" w14:paraId="4EBFCC05" w14:textId="77777777" w:rsidTr="00CA78D5">
        <w:tc>
          <w:tcPr>
            <w:tcW w:w="1019" w:type="pct"/>
          </w:tcPr>
          <w:p w14:paraId="20232A4E" w14:textId="77777777" w:rsidR="00040634" w:rsidRPr="00CA78D5" w:rsidRDefault="00713A59">
            <w:pPr>
              <w:rPr>
                <w:sz w:val="20"/>
                <w:szCs w:val="20"/>
              </w:rPr>
            </w:pPr>
            <w:r>
              <w:rPr>
                <w:sz w:val="20"/>
                <w:szCs w:val="20"/>
              </w:rPr>
              <w:t>Berry (2000)</w:t>
            </w:r>
          </w:p>
        </w:tc>
        <w:tc>
          <w:tcPr>
            <w:tcW w:w="1111" w:type="pct"/>
          </w:tcPr>
          <w:p w14:paraId="001ABDA5" w14:textId="77777777" w:rsidR="00040634" w:rsidRPr="00CA78D5" w:rsidRDefault="00713A59">
            <w:pPr>
              <w:rPr>
                <w:sz w:val="20"/>
                <w:szCs w:val="20"/>
              </w:rPr>
            </w:pPr>
            <w:r>
              <w:rPr>
                <w:sz w:val="20"/>
                <w:szCs w:val="20"/>
              </w:rPr>
              <w:t>Inflation, GNP</w:t>
            </w:r>
          </w:p>
        </w:tc>
        <w:tc>
          <w:tcPr>
            <w:tcW w:w="833" w:type="pct"/>
          </w:tcPr>
          <w:p w14:paraId="1CEA051C" w14:textId="55044511" w:rsidR="00040634" w:rsidRPr="00CA78D5" w:rsidRDefault="00F00EC5">
            <w:pPr>
              <w:rPr>
                <w:sz w:val="20"/>
                <w:szCs w:val="20"/>
              </w:rPr>
            </w:pPr>
            <w:r>
              <w:rPr>
                <w:sz w:val="20"/>
                <w:szCs w:val="20"/>
              </w:rPr>
              <w:t>US</w:t>
            </w:r>
          </w:p>
        </w:tc>
        <w:tc>
          <w:tcPr>
            <w:tcW w:w="1019" w:type="pct"/>
          </w:tcPr>
          <w:p w14:paraId="58D2D66B" w14:textId="77777777" w:rsidR="00040634" w:rsidRPr="00CA78D5" w:rsidRDefault="00713A59">
            <w:pPr>
              <w:rPr>
                <w:sz w:val="20"/>
                <w:szCs w:val="20"/>
              </w:rPr>
            </w:pPr>
            <w:r>
              <w:rPr>
                <w:sz w:val="20"/>
                <w:szCs w:val="20"/>
              </w:rPr>
              <w:t>6, 9, 18.5, 55.5</w:t>
            </w:r>
          </w:p>
        </w:tc>
        <w:tc>
          <w:tcPr>
            <w:tcW w:w="1019" w:type="pct"/>
          </w:tcPr>
          <w:p w14:paraId="2B78A788" w14:textId="77777777" w:rsidR="00040634" w:rsidRPr="00CA78D5" w:rsidRDefault="00713A59">
            <w:pPr>
              <w:rPr>
                <w:sz w:val="20"/>
                <w:szCs w:val="20"/>
              </w:rPr>
            </w:pPr>
            <w:r>
              <w:rPr>
                <w:sz w:val="20"/>
                <w:szCs w:val="20"/>
              </w:rPr>
              <w:t>1.50, 2.05, 3.00</w:t>
            </w:r>
          </w:p>
        </w:tc>
      </w:tr>
      <w:tr w:rsidR="00040634" w:rsidRPr="00CA78D5" w14:paraId="53FFFE56" w14:textId="77777777" w:rsidTr="00CA78D5">
        <w:tc>
          <w:tcPr>
            <w:tcW w:w="1019" w:type="pct"/>
          </w:tcPr>
          <w:p w14:paraId="2F02BDD3" w14:textId="4128FF46" w:rsidR="00040634" w:rsidRPr="00CA78D5" w:rsidRDefault="00713A59">
            <w:pPr>
              <w:rPr>
                <w:sz w:val="20"/>
                <w:szCs w:val="20"/>
              </w:rPr>
            </w:pPr>
            <w:r>
              <w:rPr>
                <w:sz w:val="20"/>
                <w:szCs w:val="20"/>
              </w:rPr>
              <w:t>Berry et al. (2001)</w:t>
            </w:r>
          </w:p>
        </w:tc>
        <w:tc>
          <w:tcPr>
            <w:tcW w:w="1111" w:type="pct"/>
          </w:tcPr>
          <w:p w14:paraId="1739119C" w14:textId="77777777" w:rsidR="00040634" w:rsidRPr="00CA78D5" w:rsidRDefault="00713A59">
            <w:pPr>
              <w:rPr>
                <w:sz w:val="20"/>
                <w:szCs w:val="20"/>
              </w:rPr>
            </w:pPr>
            <w:r>
              <w:rPr>
                <w:sz w:val="20"/>
                <w:szCs w:val="20"/>
              </w:rPr>
              <w:t>Inflation</w:t>
            </w:r>
          </w:p>
        </w:tc>
        <w:tc>
          <w:tcPr>
            <w:tcW w:w="833" w:type="pct"/>
          </w:tcPr>
          <w:p w14:paraId="03654BDE" w14:textId="77777777" w:rsidR="00040634" w:rsidRPr="00CA78D5" w:rsidRDefault="00713A59">
            <w:pPr>
              <w:rPr>
                <w:sz w:val="20"/>
                <w:szCs w:val="20"/>
              </w:rPr>
            </w:pPr>
            <w:r>
              <w:rPr>
                <w:sz w:val="20"/>
                <w:szCs w:val="20"/>
              </w:rPr>
              <w:t>World</w:t>
            </w:r>
          </w:p>
        </w:tc>
        <w:tc>
          <w:tcPr>
            <w:tcW w:w="1019" w:type="pct"/>
          </w:tcPr>
          <w:p w14:paraId="601C2DFB" w14:textId="77777777" w:rsidR="00040634" w:rsidRPr="00CA78D5" w:rsidRDefault="00713A59">
            <w:pPr>
              <w:rPr>
                <w:sz w:val="20"/>
                <w:szCs w:val="20"/>
              </w:rPr>
            </w:pPr>
            <w:r>
              <w:rPr>
                <w:sz w:val="20"/>
                <w:szCs w:val="20"/>
              </w:rPr>
              <w:t>6, 9, 18</w:t>
            </w:r>
          </w:p>
        </w:tc>
        <w:tc>
          <w:tcPr>
            <w:tcW w:w="1019" w:type="pct"/>
          </w:tcPr>
          <w:p w14:paraId="341CE813" w14:textId="77777777" w:rsidR="00040634" w:rsidRPr="00CA78D5" w:rsidRDefault="00713A59">
            <w:pPr>
              <w:rPr>
                <w:sz w:val="20"/>
                <w:szCs w:val="20"/>
              </w:rPr>
            </w:pPr>
            <w:r>
              <w:rPr>
                <w:sz w:val="20"/>
                <w:szCs w:val="20"/>
              </w:rPr>
              <w:t>1.50, 2.00</w:t>
            </w:r>
          </w:p>
        </w:tc>
      </w:tr>
      <w:tr w:rsidR="00040634" w:rsidRPr="00CA78D5" w14:paraId="1C26EC5E" w14:textId="77777777" w:rsidTr="00CA78D5">
        <w:tc>
          <w:tcPr>
            <w:tcW w:w="1019" w:type="pct"/>
          </w:tcPr>
          <w:p w14:paraId="1ECD167D" w14:textId="77777777" w:rsidR="00040634" w:rsidRPr="00CA78D5" w:rsidRDefault="00713A59">
            <w:pPr>
              <w:rPr>
                <w:sz w:val="20"/>
                <w:szCs w:val="20"/>
              </w:rPr>
            </w:pPr>
            <w:r>
              <w:rPr>
                <w:sz w:val="20"/>
                <w:szCs w:val="20"/>
              </w:rPr>
              <w:t>De Groot and Franses (2008)</w:t>
            </w:r>
          </w:p>
        </w:tc>
        <w:tc>
          <w:tcPr>
            <w:tcW w:w="1111" w:type="pct"/>
          </w:tcPr>
          <w:p w14:paraId="3CE48CCE" w14:textId="77777777" w:rsidR="00040634" w:rsidRPr="00CA78D5" w:rsidRDefault="00713A59">
            <w:pPr>
              <w:rPr>
                <w:sz w:val="20"/>
                <w:szCs w:val="20"/>
              </w:rPr>
            </w:pPr>
            <w:r>
              <w:rPr>
                <w:sz w:val="20"/>
                <w:szCs w:val="20"/>
              </w:rPr>
              <w:t>13 macroeconomic indicators</w:t>
            </w:r>
          </w:p>
        </w:tc>
        <w:tc>
          <w:tcPr>
            <w:tcW w:w="833" w:type="pct"/>
          </w:tcPr>
          <w:p w14:paraId="26FA9B0C" w14:textId="055FDA35" w:rsidR="00040634" w:rsidRPr="00CA78D5" w:rsidRDefault="00713A59">
            <w:pPr>
              <w:rPr>
                <w:sz w:val="20"/>
                <w:szCs w:val="20"/>
              </w:rPr>
            </w:pPr>
            <w:r>
              <w:rPr>
                <w:sz w:val="20"/>
                <w:szCs w:val="20"/>
              </w:rPr>
              <w:t>Netherlands, UK, US</w:t>
            </w:r>
          </w:p>
        </w:tc>
        <w:tc>
          <w:tcPr>
            <w:tcW w:w="1019" w:type="pct"/>
          </w:tcPr>
          <w:p w14:paraId="771AD786" w14:textId="77777777" w:rsidR="00040634" w:rsidRPr="00CA78D5" w:rsidRDefault="00713A59">
            <w:pPr>
              <w:rPr>
                <w:sz w:val="20"/>
                <w:szCs w:val="20"/>
              </w:rPr>
            </w:pPr>
            <w:r>
              <w:rPr>
                <w:sz w:val="20"/>
                <w:szCs w:val="20"/>
              </w:rPr>
              <w:t>10, 26, 58, 92</w:t>
            </w:r>
          </w:p>
        </w:tc>
        <w:tc>
          <w:tcPr>
            <w:tcW w:w="1019" w:type="pct"/>
          </w:tcPr>
          <w:p w14:paraId="5BCB2A69" w14:textId="77777777" w:rsidR="00040634" w:rsidRPr="00CA78D5" w:rsidRDefault="00713A59">
            <w:pPr>
              <w:rPr>
                <w:sz w:val="20"/>
                <w:szCs w:val="20"/>
              </w:rPr>
            </w:pPr>
            <w:r>
              <w:rPr>
                <w:sz w:val="20"/>
                <w:szCs w:val="20"/>
              </w:rPr>
              <w:t>1.41, 1.79, 1.85, 2.60</w:t>
            </w:r>
          </w:p>
        </w:tc>
      </w:tr>
      <w:tr w:rsidR="00040634" w:rsidRPr="00CA78D5" w14:paraId="471309DE" w14:textId="77777777" w:rsidTr="00CA78D5">
        <w:tc>
          <w:tcPr>
            <w:tcW w:w="1019" w:type="pct"/>
          </w:tcPr>
          <w:p w14:paraId="1C468D0B" w14:textId="77777777" w:rsidR="00040634" w:rsidRPr="00CA78D5" w:rsidRDefault="00713A59">
            <w:pPr>
              <w:rPr>
                <w:sz w:val="20"/>
                <w:szCs w:val="20"/>
              </w:rPr>
            </w:pPr>
            <w:r>
              <w:rPr>
                <w:sz w:val="20"/>
                <w:szCs w:val="20"/>
              </w:rPr>
              <w:t>De Groot and Franses (2009)</w:t>
            </w:r>
          </w:p>
        </w:tc>
        <w:tc>
          <w:tcPr>
            <w:tcW w:w="1111" w:type="pct"/>
          </w:tcPr>
          <w:p w14:paraId="599DAFFE" w14:textId="77777777" w:rsidR="00040634" w:rsidRPr="00CA78D5" w:rsidRDefault="00713A59">
            <w:pPr>
              <w:rPr>
                <w:sz w:val="20"/>
                <w:szCs w:val="20"/>
              </w:rPr>
            </w:pPr>
            <w:r>
              <w:rPr>
                <w:sz w:val="20"/>
                <w:szCs w:val="20"/>
              </w:rPr>
              <w:t>Basic innovations per year</w:t>
            </w:r>
          </w:p>
        </w:tc>
        <w:tc>
          <w:tcPr>
            <w:tcW w:w="833" w:type="pct"/>
          </w:tcPr>
          <w:p w14:paraId="11758AAD" w14:textId="77777777" w:rsidR="00040634" w:rsidRPr="00CA78D5" w:rsidRDefault="00713A59">
            <w:pPr>
              <w:rPr>
                <w:sz w:val="20"/>
                <w:szCs w:val="20"/>
              </w:rPr>
            </w:pPr>
            <w:r>
              <w:rPr>
                <w:sz w:val="20"/>
                <w:szCs w:val="20"/>
              </w:rPr>
              <w:t>World</w:t>
            </w:r>
          </w:p>
        </w:tc>
        <w:tc>
          <w:tcPr>
            <w:tcW w:w="1019" w:type="pct"/>
          </w:tcPr>
          <w:p w14:paraId="6555DBCC" w14:textId="77777777" w:rsidR="00040634" w:rsidRPr="00CA78D5" w:rsidRDefault="00713A59">
            <w:pPr>
              <w:rPr>
                <w:sz w:val="20"/>
                <w:szCs w:val="20"/>
              </w:rPr>
            </w:pPr>
            <w:r>
              <w:rPr>
                <w:sz w:val="20"/>
                <w:szCs w:val="20"/>
              </w:rPr>
              <w:t>5, 13, 24, 34, 61</w:t>
            </w:r>
          </w:p>
        </w:tc>
        <w:tc>
          <w:tcPr>
            <w:tcW w:w="1019" w:type="pct"/>
          </w:tcPr>
          <w:p w14:paraId="29DE0FDB" w14:textId="77777777" w:rsidR="00040634" w:rsidRPr="00CA78D5" w:rsidRDefault="00713A59">
            <w:pPr>
              <w:rPr>
                <w:sz w:val="20"/>
                <w:szCs w:val="20"/>
              </w:rPr>
            </w:pPr>
            <w:r>
              <w:rPr>
                <w:sz w:val="20"/>
                <w:szCs w:val="20"/>
              </w:rPr>
              <w:t>1.59, 2.23, 2.60</w:t>
            </w:r>
          </w:p>
        </w:tc>
      </w:tr>
      <w:tr w:rsidR="00040634" w:rsidRPr="00CA78D5" w14:paraId="7C2F15C1" w14:textId="77777777" w:rsidTr="00CA78D5">
        <w:tc>
          <w:tcPr>
            <w:tcW w:w="1019" w:type="pct"/>
          </w:tcPr>
          <w:p w14:paraId="406E642A" w14:textId="77777777" w:rsidR="00040634" w:rsidRPr="00CA78D5" w:rsidRDefault="00713A59">
            <w:pPr>
              <w:rPr>
                <w:sz w:val="20"/>
                <w:szCs w:val="20"/>
              </w:rPr>
            </w:pPr>
            <w:r>
              <w:rPr>
                <w:sz w:val="20"/>
                <w:szCs w:val="20"/>
              </w:rPr>
              <w:t>Korotayev and Tsirel (2010)</w:t>
            </w:r>
          </w:p>
        </w:tc>
        <w:tc>
          <w:tcPr>
            <w:tcW w:w="1111" w:type="pct"/>
          </w:tcPr>
          <w:p w14:paraId="660562EB" w14:textId="4A76525F" w:rsidR="00040634" w:rsidRPr="00CA78D5" w:rsidRDefault="00CA6ECA">
            <w:pPr>
              <w:rPr>
                <w:sz w:val="20"/>
                <w:szCs w:val="20"/>
              </w:rPr>
            </w:pPr>
            <w:r>
              <w:rPr>
                <w:sz w:val="20"/>
                <w:szCs w:val="20"/>
              </w:rPr>
              <w:t>GDP</w:t>
            </w:r>
          </w:p>
        </w:tc>
        <w:tc>
          <w:tcPr>
            <w:tcW w:w="833" w:type="pct"/>
          </w:tcPr>
          <w:p w14:paraId="77B0AC08" w14:textId="77777777" w:rsidR="00040634" w:rsidRPr="00CA78D5" w:rsidRDefault="00713A59">
            <w:pPr>
              <w:rPr>
                <w:sz w:val="20"/>
                <w:szCs w:val="20"/>
              </w:rPr>
            </w:pPr>
            <w:r>
              <w:rPr>
                <w:sz w:val="20"/>
                <w:szCs w:val="20"/>
              </w:rPr>
              <w:t>World</w:t>
            </w:r>
          </w:p>
        </w:tc>
        <w:tc>
          <w:tcPr>
            <w:tcW w:w="1019" w:type="pct"/>
          </w:tcPr>
          <w:p w14:paraId="4FC4A6DE" w14:textId="77777777" w:rsidR="00040634" w:rsidRPr="00CA78D5" w:rsidRDefault="00713A59">
            <w:pPr>
              <w:rPr>
                <w:sz w:val="20"/>
                <w:szCs w:val="20"/>
              </w:rPr>
            </w:pPr>
            <w:r>
              <w:rPr>
                <w:sz w:val="20"/>
                <w:szCs w:val="20"/>
              </w:rPr>
              <w:t>3.5, 8, 52.5</w:t>
            </w:r>
          </w:p>
        </w:tc>
        <w:tc>
          <w:tcPr>
            <w:tcW w:w="1019" w:type="pct"/>
          </w:tcPr>
          <w:p w14:paraId="46426525" w14:textId="77777777" w:rsidR="00040634" w:rsidRPr="00CA78D5" w:rsidRDefault="00713A59">
            <w:pPr>
              <w:rPr>
                <w:sz w:val="20"/>
                <w:szCs w:val="20"/>
              </w:rPr>
            </w:pPr>
            <w:r>
              <w:rPr>
                <w:sz w:val="20"/>
                <w:szCs w:val="20"/>
              </w:rPr>
              <w:t>2.30, 6.60</w:t>
            </w:r>
          </w:p>
        </w:tc>
      </w:tr>
      <w:tr w:rsidR="00040634" w:rsidRPr="00CA78D5" w14:paraId="2AFE4B91" w14:textId="77777777" w:rsidTr="00CA78D5">
        <w:tc>
          <w:tcPr>
            <w:tcW w:w="1019" w:type="pct"/>
          </w:tcPr>
          <w:p w14:paraId="35627ABC" w14:textId="19730948" w:rsidR="00040634" w:rsidRPr="00CA78D5" w:rsidRDefault="00713A59">
            <w:pPr>
              <w:rPr>
                <w:sz w:val="20"/>
                <w:szCs w:val="20"/>
              </w:rPr>
            </w:pPr>
            <w:r>
              <w:rPr>
                <w:sz w:val="20"/>
                <w:szCs w:val="20"/>
              </w:rPr>
              <w:t>De Groot et al. (2021)</w:t>
            </w:r>
          </w:p>
        </w:tc>
        <w:tc>
          <w:tcPr>
            <w:tcW w:w="1111" w:type="pct"/>
          </w:tcPr>
          <w:p w14:paraId="1E0B4E3F" w14:textId="7AC7D5CB" w:rsidR="00040634" w:rsidRPr="00CA78D5" w:rsidRDefault="00CA6ECA">
            <w:pPr>
              <w:rPr>
                <w:sz w:val="20"/>
                <w:szCs w:val="20"/>
              </w:rPr>
            </w:pPr>
            <w:r>
              <w:rPr>
                <w:sz w:val="20"/>
                <w:szCs w:val="20"/>
              </w:rPr>
              <w:t>GDP</w:t>
            </w:r>
          </w:p>
        </w:tc>
        <w:tc>
          <w:tcPr>
            <w:tcW w:w="833" w:type="pct"/>
          </w:tcPr>
          <w:p w14:paraId="32C59975" w14:textId="77777777" w:rsidR="00040634" w:rsidRPr="00CA78D5" w:rsidRDefault="00713A59">
            <w:pPr>
              <w:rPr>
                <w:sz w:val="20"/>
                <w:szCs w:val="20"/>
              </w:rPr>
            </w:pPr>
            <w:r>
              <w:rPr>
                <w:sz w:val="20"/>
                <w:szCs w:val="20"/>
              </w:rPr>
              <w:t>25 OECD countries and Europe</w:t>
            </w:r>
          </w:p>
        </w:tc>
        <w:tc>
          <w:tcPr>
            <w:tcW w:w="1019" w:type="pct"/>
          </w:tcPr>
          <w:p w14:paraId="619CFDC9" w14:textId="77777777" w:rsidR="00040634" w:rsidRPr="00CA78D5" w:rsidRDefault="00713A59">
            <w:pPr>
              <w:rPr>
                <w:sz w:val="20"/>
                <w:szCs w:val="20"/>
              </w:rPr>
            </w:pPr>
            <w:r>
              <w:rPr>
                <w:sz w:val="20"/>
                <w:szCs w:val="20"/>
              </w:rPr>
              <w:t>3–15*</w:t>
            </w:r>
          </w:p>
        </w:tc>
        <w:tc>
          <w:tcPr>
            <w:tcW w:w="1019" w:type="pct"/>
          </w:tcPr>
          <w:p w14:paraId="5EC0F184" w14:textId="77777777" w:rsidR="00040634" w:rsidRPr="00CA78D5" w:rsidRDefault="00713A59">
            <w:pPr>
              <w:rPr>
                <w:sz w:val="20"/>
                <w:szCs w:val="20"/>
              </w:rPr>
            </w:pPr>
            <w:r>
              <w:rPr>
                <w:sz w:val="20"/>
                <w:szCs w:val="20"/>
              </w:rPr>
              <w:t>1.62**</w:t>
            </w:r>
          </w:p>
        </w:tc>
      </w:tr>
    </w:tbl>
    <w:p w14:paraId="78A5C1C1" w14:textId="77777777" w:rsidR="00040634" w:rsidRPr="00EE62B6" w:rsidRDefault="00713A59">
      <w:pPr>
        <w:spacing w:before="120" w:after="40"/>
        <w:rPr>
          <w:lang w:val="en-US"/>
        </w:rPr>
      </w:pPr>
      <w:r w:rsidRPr="00EE62B6">
        <w:rPr>
          <w:sz w:val="16"/>
          <w:szCs w:val="16"/>
          <w:lang w:val="en-US"/>
        </w:rPr>
        <w:t>Ratios are listed in ascending order.</w:t>
      </w:r>
    </w:p>
    <w:p w14:paraId="0A06FF47" w14:textId="11FE5253" w:rsidR="00040634" w:rsidRPr="00EE62B6" w:rsidRDefault="00713A59">
      <w:pPr>
        <w:spacing w:after="40"/>
        <w:rPr>
          <w:lang w:val="en-US"/>
        </w:rPr>
      </w:pPr>
      <w:r w:rsidRPr="00EE62B6">
        <w:rPr>
          <w:sz w:val="16"/>
          <w:szCs w:val="16"/>
          <w:lang w:val="en-US"/>
        </w:rPr>
        <w:t>* De Groot et al. (2021) estimated the lengths of 2 to 5 subcycles, with lengths between 3 and 15 years, in percentage GDP growth for 25 OECD countries individually, and for Europe.</w:t>
      </w:r>
    </w:p>
    <w:p w14:paraId="497C0B81" w14:textId="1FDD6EC8" w:rsidR="00040634" w:rsidRPr="00EE62B6" w:rsidRDefault="00713A59">
      <w:pPr>
        <w:spacing w:after="300"/>
        <w:rPr>
          <w:lang w:val="en-US"/>
        </w:rPr>
      </w:pPr>
      <w:r w:rsidRPr="00EE62B6">
        <w:rPr>
          <w:sz w:val="16"/>
          <w:szCs w:val="16"/>
          <w:lang w:val="en-US"/>
        </w:rPr>
        <w:t>** Average over all estimated cycle length ratios.</w:t>
      </w:r>
    </w:p>
    <w:p w14:paraId="5BBFA145" w14:textId="5FCCFB2B" w:rsidR="00893F9B" w:rsidRPr="00EE62B6" w:rsidRDefault="00713A59" w:rsidP="00893F9B">
      <w:pPr>
        <w:spacing w:after="160"/>
        <w:jc w:val="both"/>
        <w:rPr>
          <w:lang w:val="en-US"/>
        </w:rPr>
      </w:pPr>
      <w:r w:rsidRPr="00EE62B6">
        <w:rPr>
          <w:lang w:val="en-US"/>
        </w:rPr>
        <w:t xml:space="preserve">Inspecting the cycle length ratios in Table 1, we conclude that in GDP, and in closely related components including industrial production and consumption, none of the estimated </w:t>
      </w:r>
      <w:proofErr w:type="spellStart"/>
      <w:r w:rsidRPr="00EE62B6">
        <w:rPr>
          <w:lang w:val="en-US"/>
        </w:rPr>
        <w:t>subcycle</w:t>
      </w:r>
      <w:proofErr w:type="spellEnd"/>
      <w:r w:rsidRPr="00EE62B6">
        <w:rPr>
          <w:lang w:val="en-US"/>
        </w:rPr>
        <w:t xml:space="preserve"> lengths appear to be multiples of each other.</w:t>
      </w:r>
    </w:p>
    <w:p w14:paraId="619AB000" w14:textId="3FE18ABF" w:rsidR="00893F9B" w:rsidRPr="00EE62B6" w:rsidRDefault="00893F9B" w:rsidP="00893F9B">
      <w:pPr>
        <w:spacing w:after="160"/>
        <w:jc w:val="both"/>
        <w:rPr>
          <w:lang w:val="en-US"/>
        </w:rPr>
      </w:pPr>
      <w:r w:rsidRPr="00EE62B6">
        <w:rPr>
          <w:lang w:val="en-US"/>
        </w:rPr>
        <w:t xml:space="preserve">An overview of individual variables from the USA, UK and NL for GDP growth, national production index, employment, wage index, long- and short-term interest rates, consumer price index and population growth show multiple waves that are not multiples of each other (De Groot, Franses 2008). The proposition that cycle lengths fit the Fibonacci sequence (1, 1, 2, 3, 5, 8, 13, 21, 55, 89, </w:t>
      </w:r>
      <w:proofErr w:type="gramStart"/>
      <w:r w:rsidRPr="00EE62B6">
        <w:rPr>
          <w:lang w:val="en-US"/>
        </w:rPr>
        <w:t>144, ..</w:t>
      </w:r>
      <w:proofErr w:type="gramEnd"/>
      <w:r w:rsidRPr="00EE62B6">
        <w:rPr>
          <w:lang w:val="en-US"/>
        </w:rPr>
        <w:t>) cannot be rejected.</w:t>
      </w:r>
    </w:p>
    <w:p w14:paraId="3D8B3EBA" w14:textId="318F9916" w:rsidR="00552862" w:rsidRDefault="00B259FC" w:rsidP="00BB04C4">
      <w:pPr>
        <w:spacing w:after="160"/>
        <w:jc w:val="both"/>
        <w:rPr>
          <w:b/>
          <w:bCs/>
        </w:rPr>
      </w:pPr>
      <w:proofErr w:type="spellStart"/>
      <w:r>
        <w:t>Finally</w:t>
      </w:r>
      <w:proofErr w:type="spellEnd"/>
      <w:r>
        <w:t xml:space="preserve">, De Groot et al. </w:t>
      </w:r>
      <w:r w:rsidRPr="00EE62B6">
        <w:rPr>
          <w:lang w:val="en-US"/>
        </w:rPr>
        <w:t xml:space="preserve">(2021) found that the ratios between subcycle lengths in the GDP of 25 OECD countries and Europe lie remarkably close to the golden ratio, </w:t>
      </w:r>
      <w:r>
        <w:t>φ</w:t>
      </w:r>
      <w:r w:rsidRPr="00EE62B6">
        <w:rPr>
          <w:lang w:val="en-US"/>
        </w:rPr>
        <w:t xml:space="preserve"> = </w:t>
      </w:r>
      <w:proofErr w:type="gramStart"/>
      <w:r w:rsidRPr="00EE62B6">
        <w:rPr>
          <w:lang w:val="en-US"/>
        </w:rPr>
        <w:t>½(</w:t>
      </w:r>
      <w:proofErr w:type="gramEnd"/>
      <w:r w:rsidRPr="00EE62B6">
        <w:rPr>
          <w:lang w:val="en-US"/>
        </w:rPr>
        <w:t xml:space="preserve">1+√5) ≈ 1.618 — a number closely related to the Fibonacci sequence. The estimated cycle lengths in De Groot et al. </w:t>
      </w:r>
      <w:r>
        <w:t>(2021) are presented in Table 2.</w:t>
      </w:r>
    </w:p>
    <w:p w14:paraId="2342F643" w14:textId="74DF3AB6" w:rsidR="004F61C6" w:rsidRPr="00EE62B6" w:rsidRDefault="00552862" w:rsidP="00552862">
      <w:pPr>
        <w:spacing w:after="160"/>
        <w:rPr>
          <w:i/>
          <w:iCs/>
          <w:lang w:val="en-US"/>
        </w:rPr>
      </w:pPr>
      <w:r w:rsidRPr="00EE62B6">
        <w:rPr>
          <w:b/>
          <w:bCs/>
          <w:lang w:val="en-US"/>
        </w:rPr>
        <w:t>Table 2</w:t>
      </w:r>
      <w:r w:rsidRPr="00EE62B6">
        <w:rPr>
          <w:b/>
          <w:bCs/>
          <w:lang w:val="en-US"/>
        </w:rPr>
        <w:br/>
        <w:t xml:space="preserve">Estimated cycle lengths for each of the 25 OECD countries and for OECD Europe </w:t>
      </w:r>
    </w:p>
    <w:tbl>
      <w:tblPr>
        <w:tblW w:w="5000" w:type="pct"/>
        <w:tblLook w:val="04A0" w:firstRow="1" w:lastRow="0" w:firstColumn="1" w:lastColumn="0" w:noHBand="0" w:noVBand="1"/>
      </w:tblPr>
      <w:tblGrid>
        <w:gridCol w:w="1695"/>
        <w:gridCol w:w="506"/>
        <w:gridCol w:w="506"/>
        <w:gridCol w:w="506"/>
        <w:gridCol w:w="506"/>
        <w:gridCol w:w="506"/>
        <w:gridCol w:w="506"/>
        <w:gridCol w:w="624"/>
        <w:gridCol w:w="857"/>
        <w:gridCol w:w="857"/>
        <w:gridCol w:w="857"/>
        <w:gridCol w:w="858"/>
        <w:gridCol w:w="854"/>
      </w:tblGrid>
      <w:tr w:rsidR="00552862" w:rsidRPr="00A279C8" w14:paraId="102EF59B" w14:textId="77777777" w:rsidTr="00552862">
        <w:trPr>
          <w:trHeight w:val="300"/>
        </w:trPr>
        <w:tc>
          <w:tcPr>
            <w:tcW w:w="793" w:type="pct"/>
            <w:tcBorders>
              <w:top w:val="nil"/>
              <w:left w:val="nil"/>
              <w:bottom w:val="nil"/>
              <w:right w:val="nil"/>
            </w:tcBorders>
            <w:noWrap/>
            <w:vAlign w:val="bottom"/>
            <w:hideMark/>
          </w:tcPr>
          <w:p w14:paraId="7563DCFD" w14:textId="77777777" w:rsidR="00552862" w:rsidRPr="00EE62B6" w:rsidRDefault="00552862" w:rsidP="00552862">
            <w:pPr>
              <w:rPr>
                <w:rFonts w:ascii="Times New Roman" w:eastAsia="Times New Roman" w:hAnsi="Times New Roman" w:cs="Times New Roman"/>
                <w:sz w:val="20"/>
                <w:szCs w:val="20"/>
                <w:lang w:val="en-US"/>
              </w:rPr>
            </w:pPr>
          </w:p>
        </w:tc>
        <w:tc>
          <w:tcPr>
            <w:tcW w:w="4207" w:type="pct"/>
            <w:gridSpan w:val="12"/>
            <w:tcBorders>
              <w:top w:val="nil"/>
              <w:left w:val="nil"/>
              <w:bottom w:val="nil"/>
              <w:right w:val="nil"/>
            </w:tcBorders>
            <w:noWrap/>
            <w:vAlign w:val="bottom"/>
            <w:hideMark/>
          </w:tcPr>
          <w:p w14:paraId="1321BBD1" w14:textId="2B05D527" w:rsidR="00552862" w:rsidRPr="00A279C8" w:rsidRDefault="00552862" w:rsidP="00552862">
            <w:pPr>
              <w:jc w:val="center"/>
              <w:rPr>
                <w:rFonts w:ascii="Arial" w:eastAsia="Times New Roman" w:hAnsi="Arial" w:cs="Arial"/>
                <w:b/>
                <w:bCs/>
                <w:sz w:val="20"/>
                <w:szCs w:val="20"/>
              </w:rPr>
            </w:pPr>
            <w:proofErr w:type="spellStart"/>
            <w:r>
              <w:rPr>
                <w:rFonts w:ascii="Arial" w:eastAsia="Times New Roman" w:hAnsi="Arial" w:cs="Arial"/>
                <w:b/>
                <w:bCs/>
                <w:sz w:val="20"/>
                <w:szCs w:val="20"/>
              </w:rPr>
              <w:t>Cycle</w:t>
            </w:r>
            <w:proofErr w:type="spellEnd"/>
            <w:r>
              <w:rPr>
                <w:rFonts w:ascii="Arial" w:eastAsia="Times New Roman" w:hAnsi="Arial" w:cs="Arial"/>
                <w:b/>
                <w:bCs/>
                <w:sz w:val="20"/>
                <w:szCs w:val="20"/>
              </w:rPr>
              <w:t xml:space="preserve"> </w:t>
            </w:r>
            <w:proofErr w:type="spellStart"/>
            <w:r>
              <w:rPr>
                <w:rFonts w:ascii="Arial" w:eastAsia="Times New Roman" w:hAnsi="Arial" w:cs="Arial"/>
                <w:b/>
                <w:bCs/>
                <w:sz w:val="20"/>
                <w:szCs w:val="20"/>
              </w:rPr>
              <w:t>length</w:t>
            </w:r>
            <w:proofErr w:type="spellEnd"/>
            <w:r>
              <w:rPr>
                <w:rFonts w:ascii="Arial" w:eastAsia="Times New Roman" w:hAnsi="Arial" w:cs="Arial"/>
                <w:b/>
                <w:bCs/>
                <w:sz w:val="20"/>
                <w:szCs w:val="20"/>
              </w:rPr>
              <w:t xml:space="preserve"> in </w:t>
            </w:r>
            <w:proofErr w:type="spellStart"/>
            <w:r>
              <w:rPr>
                <w:rFonts w:ascii="Arial" w:eastAsia="Times New Roman" w:hAnsi="Arial" w:cs="Arial"/>
                <w:b/>
                <w:bCs/>
                <w:sz w:val="20"/>
                <w:szCs w:val="20"/>
              </w:rPr>
              <w:t>years</w:t>
            </w:r>
            <w:proofErr w:type="spellEnd"/>
          </w:p>
        </w:tc>
      </w:tr>
      <w:tr w:rsidR="00552862" w:rsidRPr="00A279C8" w14:paraId="3FCA7483" w14:textId="77777777" w:rsidTr="00552862">
        <w:trPr>
          <w:trHeight w:val="300"/>
        </w:trPr>
        <w:tc>
          <w:tcPr>
            <w:tcW w:w="793" w:type="pct"/>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90E305"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Country</w:t>
            </w:r>
          </w:p>
        </w:tc>
        <w:tc>
          <w:tcPr>
            <w:tcW w:w="265" w:type="pct"/>
            <w:tcBorders>
              <w:top w:val="single" w:sz="4" w:space="0" w:color="000000"/>
              <w:left w:val="nil"/>
              <w:bottom w:val="single" w:sz="4" w:space="0" w:color="000000"/>
              <w:right w:val="single" w:sz="4" w:space="0" w:color="000000"/>
            </w:tcBorders>
            <w:shd w:val="clear" w:color="D9D9D9" w:fill="D9D9D9"/>
            <w:noWrap/>
            <w:vAlign w:val="bottom"/>
            <w:hideMark/>
          </w:tcPr>
          <w:p w14:paraId="75621AFE"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3-4</w:t>
            </w:r>
          </w:p>
        </w:tc>
        <w:tc>
          <w:tcPr>
            <w:tcW w:w="265" w:type="pct"/>
            <w:tcBorders>
              <w:top w:val="single" w:sz="4" w:space="0" w:color="000000"/>
              <w:left w:val="nil"/>
              <w:bottom w:val="single" w:sz="4" w:space="0" w:color="000000"/>
              <w:right w:val="single" w:sz="4" w:space="0" w:color="000000"/>
            </w:tcBorders>
            <w:shd w:val="clear" w:color="D9D9D9" w:fill="D9D9D9"/>
            <w:noWrap/>
            <w:vAlign w:val="bottom"/>
            <w:hideMark/>
          </w:tcPr>
          <w:p w14:paraId="4FB27CEE"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4-5</w:t>
            </w:r>
          </w:p>
        </w:tc>
        <w:tc>
          <w:tcPr>
            <w:tcW w:w="265" w:type="pct"/>
            <w:tcBorders>
              <w:top w:val="single" w:sz="4" w:space="0" w:color="000000"/>
              <w:left w:val="nil"/>
              <w:bottom w:val="single" w:sz="4" w:space="0" w:color="000000"/>
              <w:right w:val="single" w:sz="4" w:space="0" w:color="000000"/>
            </w:tcBorders>
            <w:shd w:val="clear" w:color="D9D9D9" w:fill="D9D9D9"/>
            <w:noWrap/>
            <w:vAlign w:val="bottom"/>
            <w:hideMark/>
          </w:tcPr>
          <w:p w14:paraId="0D6F9DA4"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5-6</w:t>
            </w:r>
          </w:p>
        </w:tc>
        <w:tc>
          <w:tcPr>
            <w:tcW w:w="265" w:type="pct"/>
            <w:tcBorders>
              <w:top w:val="single" w:sz="4" w:space="0" w:color="000000"/>
              <w:left w:val="nil"/>
              <w:bottom w:val="single" w:sz="4" w:space="0" w:color="000000"/>
              <w:right w:val="single" w:sz="4" w:space="0" w:color="000000"/>
            </w:tcBorders>
            <w:shd w:val="clear" w:color="D9D9D9" w:fill="D9D9D9"/>
            <w:noWrap/>
            <w:vAlign w:val="bottom"/>
            <w:hideMark/>
          </w:tcPr>
          <w:p w14:paraId="0DFF54A1"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6-7</w:t>
            </w:r>
          </w:p>
        </w:tc>
        <w:tc>
          <w:tcPr>
            <w:tcW w:w="265" w:type="pct"/>
            <w:tcBorders>
              <w:top w:val="single" w:sz="4" w:space="0" w:color="000000"/>
              <w:left w:val="nil"/>
              <w:bottom w:val="single" w:sz="4" w:space="0" w:color="000000"/>
              <w:right w:val="single" w:sz="4" w:space="0" w:color="000000"/>
            </w:tcBorders>
            <w:shd w:val="clear" w:color="D9D9D9" w:fill="D9D9D9"/>
            <w:noWrap/>
            <w:vAlign w:val="bottom"/>
            <w:hideMark/>
          </w:tcPr>
          <w:p w14:paraId="175E52DF"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7-8</w:t>
            </w:r>
          </w:p>
        </w:tc>
        <w:tc>
          <w:tcPr>
            <w:tcW w:w="265" w:type="pct"/>
            <w:tcBorders>
              <w:top w:val="single" w:sz="4" w:space="0" w:color="000000"/>
              <w:left w:val="nil"/>
              <w:bottom w:val="single" w:sz="4" w:space="0" w:color="000000"/>
              <w:right w:val="single" w:sz="4" w:space="0" w:color="000000"/>
            </w:tcBorders>
            <w:shd w:val="clear" w:color="D9D9D9" w:fill="D9D9D9"/>
            <w:noWrap/>
            <w:vAlign w:val="bottom"/>
            <w:hideMark/>
          </w:tcPr>
          <w:p w14:paraId="189DF933"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8-9</w:t>
            </w:r>
          </w:p>
        </w:tc>
        <w:tc>
          <w:tcPr>
            <w:tcW w:w="359" w:type="pct"/>
            <w:tcBorders>
              <w:top w:val="single" w:sz="4" w:space="0" w:color="000000"/>
              <w:left w:val="nil"/>
              <w:bottom w:val="single" w:sz="4" w:space="0" w:color="000000"/>
              <w:right w:val="single" w:sz="4" w:space="0" w:color="000000"/>
            </w:tcBorders>
            <w:shd w:val="clear" w:color="D9D9D9" w:fill="D9D9D9"/>
            <w:noWrap/>
            <w:vAlign w:val="bottom"/>
            <w:hideMark/>
          </w:tcPr>
          <w:p w14:paraId="7F6DD83D"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9-10</w:t>
            </w:r>
          </w:p>
        </w:tc>
        <w:tc>
          <w:tcPr>
            <w:tcW w:w="452" w:type="pct"/>
            <w:tcBorders>
              <w:top w:val="single" w:sz="4" w:space="0" w:color="000000"/>
              <w:left w:val="nil"/>
              <w:bottom w:val="single" w:sz="4" w:space="0" w:color="000000"/>
              <w:right w:val="single" w:sz="4" w:space="0" w:color="000000"/>
            </w:tcBorders>
            <w:shd w:val="clear" w:color="D9D9D9" w:fill="D9D9D9"/>
            <w:noWrap/>
            <w:vAlign w:val="bottom"/>
            <w:hideMark/>
          </w:tcPr>
          <w:p w14:paraId="340D9DA3"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10-11</w:t>
            </w:r>
          </w:p>
        </w:tc>
        <w:tc>
          <w:tcPr>
            <w:tcW w:w="452" w:type="pct"/>
            <w:tcBorders>
              <w:top w:val="single" w:sz="4" w:space="0" w:color="000000"/>
              <w:left w:val="nil"/>
              <w:bottom w:val="single" w:sz="4" w:space="0" w:color="000000"/>
              <w:right w:val="single" w:sz="4" w:space="0" w:color="000000"/>
            </w:tcBorders>
            <w:shd w:val="clear" w:color="D9D9D9" w:fill="D9D9D9"/>
            <w:noWrap/>
            <w:vAlign w:val="bottom"/>
            <w:hideMark/>
          </w:tcPr>
          <w:p w14:paraId="09654B43"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11-12</w:t>
            </w:r>
          </w:p>
        </w:tc>
        <w:tc>
          <w:tcPr>
            <w:tcW w:w="452" w:type="pct"/>
            <w:tcBorders>
              <w:top w:val="single" w:sz="4" w:space="0" w:color="000000"/>
              <w:left w:val="nil"/>
              <w:bottom w:val="single" w:sz="4" w:space="0" w:color="000000"/>
              <w:right w:val="single" w:sz="4" w:space="0" w:color="000000"/>
            </w:tcBorders>
            <w:shd w:val="clear" w:color="D9D9D9" w:fill="D9D9D9"/>
            <w:noWrap/>
            <w:vAlign w:val="bottom"/>
            <w:hideMark/>
          </w:tcPr>
          <w:p w14:paraId="0E05030A"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12-13</w:t>
            </w:r>
          </w:p>
        </w:tc>
        <w:tc>
          <w:tcPr>
            <w:tcW w:w="452" w:type="pct"/>
            <w:tcBorders>
              <w:top w:val="single" w:sz="4" w:space="0" w:color="000000"/>
              <w:left w:val="nil"/>
              <w:bottom w:val="single" w:sz="4" w:space="0" w:color="000000"/>
              <w:right w:val="single" w:sz="4" w:space="0" w:color="000000"/>
            </w:tcBorders>
            <w:shd w:val="clear" w:color="D9D9D9" w:fill="D9D9D9"/>
            <w:noWrap/>
            <w:vAlign w:val="bottom"/>
            <w:hideMark/>
          </w:tcPr>
          <w:p w14:paraId="715244DC"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13-14</w:t>
            </w:r>
          </w:p>
        </w:tc>
        <w:tc>
          <w:tcPr>
            <w:tcW w:w="452" w:type="pct"/>
            <w:tcBorders>
              <w:top w:val="single" w:sz="4" w:space="0" w:color="000000"/>
              <w:left w:val="nil"/>
              <w:bottom w:val="single" w:sz="4" w:space="0" w:color="000000"/>
              <w:right w:val="single" w:sz="4" w:space="0" w:color="000000"/>
            </w:tcBorders>
            <w:shd w:val="clear" w:color="D9D9D9" w:fill="D9D9D9"/>
            <w:noWrap/>
            <w:vAlign w:val="bottom"/>
            <w:hideMark/>
          </w:tcPr>
          <w:p w14:paraId="7C28AEE5"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14-15</w:t>
            </w:r>
          </w:p>
        </w:tc>
      </w:tr>
      <w:tr w:rsidR="00552862" w:rsidRPr="00A279C8" w14:paraId="6AD4FFE6"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54E4A007"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Australia</w:t>
            </w:r>
          </w:p>
        </w:tc>
        <w:tc>
          <w:tcPr>
            <w:tcW w:w="265" w:type="pct"/>
            <w:tcBorders>
              <w:top w:val="nil"/>
              <w:left w:val="nil"/>
              <w:bottom w:val="single" w:sz="4" w:space="0" w:color="000000"/>
              <w:right w:val="single" w:sz="4" w:space="0" w:color="000000"/>
            </w:tcBorders>
            <w:noWrap/>
            <w:vAlign w:val="bottom"/>
            <w:hideMark/>
          </w:tcPr>
          <w:p w14:paraId="61DC0F9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24F3F5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53ECA5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w:t>
            </w:r>
          </w:p>
        </w:tc>
        <w:tc>
          <w:tcPr>
            <w:tcW w:w="265" w:type="pct"/>
            <w:tcBorders>
              <w:top w:val="nil"/>
              <w:left w:val="nil"/>
              <w:bottom w:val="single" w:sz="4" w:space="0" w:color="000000"/>
              <w:right w:val="single" w:sz="4" w:space="0" w:color="000000"/>
            </w:tcBorders>
            <w:noWrap/>
            <w:vAlign w:val="bottom"/>
            <w:hideMark/>
          </w:tcPr>
          <w:p w14:paraId="14E6747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80E6D1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C7BFB3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0B619AD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9.3</w:t>
            </w:r>
          </w:p>
        </w:tc>
        <w:tc>
          <w:tcPr>
            <w:tcW w:w="452" w:type="pct"/>
            <w:tcBorders>
              <w:top w:val="nil"/>
              <w:left w:val="nil"/>
              <w:bottom w:val="single" w:sz="4" w:space="0" w:color="000000"/>
              <w:right w:val="single" w:sz="4" w:space="0" w:color="000000"/>
            </w:tcBorders>
            <w:noWrap/>
            <w:vAlign w:val="bottom"/>
            <w:hideMark/>
          </w:tcPr>
          <w:p w14:paraId="3A7D06F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981E13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6A8E10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07CCB2C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2F3B78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14.7</w:t>
            </w:r>
          </w:p>
        </w:tc>
      </w:tr>
      <w:tr w:rsidR="00552862" w:rsidRPr="00A279C8" w14:paraId="17232C28"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086A016F"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Austria</w:t>
            </w:r>
          </w:p>
        </w:tc>
        <w:tc>
          <w:tcPr>
            <w:tcW w:w="265" w:type="pct"/>
            <w:tcBorders>
              <w:top w:val="nil"/>
              <w:left w:val="nil"/>
              <w:bottom w:val="single" w:sz="4" w:space="0" w:color="000000"/>
              <w:right w:val="single" w:sz="4" w:space="0" w:color="000000"/>
            </w:tcBorders>
            <w:noWrap/>
            <w:vAlign w:val="bottom"/>
            <w:hideMark/>
          </w:tcPr>
          <w:p w14:paraId="65C5C1E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EADDA0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E91D6B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BE82AA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6</w:t>
            </w:r>
          </w:p>
        </w:tc>
        <w:tc>
          <w:tcPr>
            <w:tcW w:w="265" w:type="pct"/>
            <w:tcBorders>
              <w:top w:val="nil"/>
              <w:left w:val="nil"/>
              <w:bottom w:val="single" w:sz="4" w:space="0" w:color="000000"/>
              <w:right w:val="single" w:sz="4" w:space="0" w:color="000000"/>
            </w:tcBorders>
            <w:noWrap/>
            <w:vAlign w:val="bottom"/>
            <w:hideMark/>
          </w:tcPr>
          <w:p w14:paraId="74B8937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7FE3DC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1F94FDB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9.4</w:t>
            </w:r>
          </w:p>
        </w:tc>
        <w:tc>
          <w:tcPr>
            <w:tcW w:w="452" w:type="pct"/>
            <w:tcBorders>
              <w:top w:val="nil"/>
              <w:left w:val="nil"/>
              <w:bottom w:val="single" w:sz="4" w:space="0" w:color="000000"/>
              <w:right w:val="single" w:sz="4" w:space="0" w:color="000000"/>
            </w:tcBorders>
            <w:noWrap/>
            <w:vAlign w:val="bottom"/>
            <w:hideMark/>
          </w:tcPr>
          <w:p w14:paraId="31D744E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A7C2F4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92FC32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85EF77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E47E4D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14.9</w:t>
            </w:r>
          </w:p>
        </w:tc>
      </w:tr>
      <w:tr w:rsidR="00552862" w:rsidRPr="00A279C8" w14:paraId="3F02CB70"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3B61AD68"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Belgium</w:t>
            </w:r>
          </w:p>
        </w:tc>
        <w:tc>
          <w:tcPr>
            <w:tcW w:w="265" w:type="pct"/>
            <w:tcBorders>
              <w:top w:val="nil"/>
              <w:left w:val="nil"/>
              <w:bottom w:val="single" w:sz="4" w:space="0" w:color="000000"/>
              <w:right w:val="single" w:sz="4" w:space="0" w:color="000000"/>
            </w:tcBorders>
            <w:noWrap/>
            <w:vAlign w:val="bottom"/>
            <w:hideMark/>
          </w:tcPr>
          <w:p w14:paraId="2D46556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E48575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4</w:t>
            </w:r>
          </w:p>
        </w:tc>
        <w:tc>
          <w:tcPr>
            <w:tcW w:w="265" w:type="pct"/>
            <w:tcBorders>
              <w:top w:val="nil"/>
              <w:left w:val="nil"/>
              <w:bottom w:val="single" w:sz="4" w:space="0" w:color="000000"/>
              <w:right w:val="single" w:sz="4" w:space="0" w:color="000000"/>
            </w:tcBorders>
            <w:noWrap/>
            <w:vAlign w:val="bottom"/>
            <w:hideMark/>
          </w:tcPr>
          <w:p w14:paraId="384AB00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44F716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6BD6D9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C22A53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5828AA2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9.3</w:t>
            </w:r>
          </w:p>
        </w:tc>
        <w:tc>
          <w:tcPr>
            <w:tcW w:w="452" w:type="pct"/>
            <w:tcBorders>
              <w:top w:val="nil"/>
              <w:left w:val="nil"/>
              <w:bottom w:val="single" w:sz="4" w:space="0" w:color="000000"/>
              <w:right w:val="single" w:sz="4" w:space="0" w:color="000000"/>
            </w:tcBorders>
            <w:noWrap/>
            <w:vAlign w:val="bottom"/>
            <w:hideMark/>
          </w:tcPr>
          <w:p w14:paraId="2B15B54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AD917D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574C79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1C1A752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E0E208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288D1D3E"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69434CD8"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Canada</w:t>
            </w:r>
          </w:p>
        </w:tc>
        <w:tc>
          <w:tcPr>
            <w:tcW w:w="265" w:type="pct"/>
            <w:tcBorders>
              <w:top w:val="nil"/>
              <w:left w:val="nil"/>
              <w:bottom w:val="single" w:sz="4" w:space="0" w:color="000000"/>
              <w:right w:val="single" w:sz="4" w:space="0" w:color="000000"/>
            </w:tcBorders>
            <w:noWrap/>
            <w:vAlign w:val="bottom"/>
            <w:hideMark/>
          </w:tcPr>
          <w:p w14:paraId="55E7ED6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3.7</w:t>
            </w:r>
          </w:p>
        </w:tc>
        <w:tc>
          <w:tcPr>
            <w:tcW w:w="265" w:type="pct"/>
            <w:tcBorders>
              <w:top w:val="nil"/>
              <w:left w:val="nil"/>
              <w:bottom w:val="single" w:sz="4" w:space="0" w:color="000000"/>
              <w:right w:val="single" w:sz="4" w:space="0" w:color="000000"/>
            </w:tcBorders>
            <w:noWrap/>
            <w:vAlign w:val="bottom"/>
            <w:hideMark/>
          </w:tcPr>
          <w:p w14:paraId="3D8BA10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0AE234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38C0D1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6.2</w:t>
            </w:r>
          </w:p>
        </w:tc>
        <w:tc>
          <w:tcPr>
            <w:tcW w:w="265" w:type="pct"/>
            <w:tcBorders>
              <w:top w:val="nil"/>
              <w:left w:val="nil"/>
              <w:bottom w:val="single" w:sz="4" w:space="0" w:color="000000"/>
              <w:right w:val="single" w:sz="4" w:space="0" w:color="000000"/>
            </w:tcBorders>
            <w:noWrap/>
            <w:vAlign w:val="bottom"/>
            <w:hideMark/>
          </w:tcPr>
          <w:p w14:paraId="4EDE40C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F6913C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3D2967B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87C421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201A86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4A57AA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12</w:t>
            </w:r>
          </w:p>
        </w:tc>
        <w:tc>
          <w:tcPr>
            <w:tcW w:w="452" w:type="pct"/>
            <w:tcBorders>
              <w:top w:val="nil"/>
              <w:left w:val="nil"/>
              <w:bottom w:val="single" w:sz="4" w:space="0" w:color="000000"/>
              <w:right w:val="single" w:sz="4" w:space="0" w:color="000000"/>
            </w:tcBorders>
            <w:noWrap/>
            <w:vAlign w:val="bottom"/>
            <w:hideMark/>
          </w:tcPr>
          <w:p w14:paraId="7B5F950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1CE56CD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5491B062"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48A7A2A6"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Czech Republic</w:t>
            </w:r>
          </w:p>
        </w:tc>
        <w:tc>
          <w:tcPr>
            <w:tcW w:w="265" w:type="pct"/>
            <w:tcBorders>
              <w:top w:val="nil"/>
              <w:left w:val="nil"/>
              <w:bottom w:val="single" w:sz="4" w:space="0" w:color="000000"/>
              <w:right w:val="single" w:sz="4" w:space="0" w:color="000000"/>
            </w:tcBorders>
            <w:noWrap/>
            <w:vAlign w:val="bottom"/>
            <w:hideMark/>
          </w:tcPr>
          <w:p w14:paraId="62178CF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C872D8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4.4</w:t>
            </w:r>
          </w:p>
        </w:tc>
        <w:tc>
          <w:tcPr>
            <w:tcW w:w="265" w:type="pct"/>
            <w:tcBorders>
              <w:top w:val="nil"/>
              <w:left w:val="nil"/>
              <w:bottom w:val="single" w:sz="4" w:space="0" w:color="000000"/>
              <w:right w:val="single" w:sz="4" w:space="0" w:color="000000"/>
            </w:tcBorders>
            <w:noWrap/>
            <w:vAlign w:val="bottom"/>
            <w:hideMark/>
          </w:tcPr>
          <w:p w14:paraId="28EA796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640F4D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4FE607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7.1</w:t>
            </w:r>
          </w:p>
        </w:tc>
        <w:tc>
          <w:tcPr>
            <w:tcW w:w="265" w:type="pct"/>
            <w:tcBorders>
              <w:top w:val="nil"/>
              <w:left w:val="nil"/>
              <w:bottom w:val="single" w:sz="4" w:space="0" w:color="000000"/>
              <w:right w:val="single" w:sz="4" w:space="0" w:color="000000"/>
            </w:tcBorders>
            <w:noWrap/>
            <w:vAlign w:val="bottom"/>
            <w:hideMark/>
          </w:tcPr>
          <w:p w14:paraId="6DC8303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33EF810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9.3</w:t>
            </w:r>
          </w:p>
        </w:tc>
        <w:tc>
          <w:tcPr>
            <w:tcW w:w="452" w:type="pct"/>
            <w:tcBorders>
              <w:top w:val="nil"/>
              <w:left w:val="nil"/>
              <w:bottom w:val="single" w:sz="4" w:space="0" w:color="000000"/>
              <w:right w:val="single" w:sz="4" w:space="0" w:color="000000"/>
            </w:tcBorders>
            <w:noWrap/>
            <w:vAlign w:val="bottom"/>
            <w:hideMark/>
          </w:tcPr>
          <w:p w14:paraId="0635E6E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CE7DAF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5C85EF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2F11CA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6E4049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0DD6E3DA"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74288607"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lastRenderedPageBreak/>
              <w:t>Denmark</w:t>
            </w:r>
          </w:p>
        </w:tc>
        <w:tc>
          <w:tcPr>
            <w:tcW w:w="265" w:type="pct"/>
            <w:tcBorders>
              <w:top w:val="nil"/>
              <w:left w:val="nil"/>
              <w:bottom w:val="single" w:sz="4" w:space="0" w:color="000000"/>
              <w:right w:val="single" w:sz="4" w:space="0" w:color="000000"/>
            </w:tcBorders>
            <w:noWrap/>
            <w:vAlign w:val="bottom"/>
            <w:hideMark/>
          </w:tcPr>
          <w:p w14:paraId="51AA9FF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3.9</w:t>
            </w:r>
          </w:p>
        </w:tc>
        <w:tc>
          <w:tcPr>
            <w:tcW w:w="265" w:type="pct"/>
            <w:tcBorders>
              <w:top w:val="nil"/>
              <w:left w:val="nil"/>
              <w:bottom w:val="single" w:sz="4" w:space="0" w:color="000000"/>
              <w:right w:val="single" w:sz="4" w:space="0" w:color="000000"/>
            </w:tcBorders>
            <w:noWrap/>
            <w:vAlign w:val="bottom"/>
            <w:hideMark/>
          </w:tcPr>
          <w:p w14:paraId="19C8D16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815449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2F614B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585E74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7.1</w:t>
            </w:r>
          </w:p>
        </w:tc>
        <w:tc>
          <w:tcPr>
            <w:tcW w:w="265" w:type="pct"/>
            <w:tcBorders>
              <w:top w:val="nil"/>
              <w:left w:val="nil"/>
              <w:bottom w:val="single" w:sz="4" w:space="0" w:color="000000"/>
              <w:right w:val="single" w:sz="4" w:space="0" w:color="000000"/>
            </w:tcBorders>
            <w:noWrap/>
            <w:vAlign w:val="bottom"/>
            <w:hideMark/>
          </w:tcPr>
          <w:p w14:paraId="5D077CF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0352039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C5FCAD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01F5429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11.5</w:t>
            </w:r>
          </w:p>
        </w:tc>
        <w:tc>
          <w:tcPr>
            <w:tcW w:w="452" w:type="pct"/>
            <w:tcBorders>
              <w:top w:val="nil"/>
              <w:left w:val="nil"/>
              <w:bottom w:val="single" w:sz="4" w:space="0" w:color="000000"/>
              <w:right w:val="single" w:sz="4" w:space="0" w:color="000000"/>
            </w:tcBorders>
            <w:noWrap/>
            <w:vAlign w:val="bottom"/>
            <w:hideMark/>
          </w:tcPr>
          <w:p w14:paraId="3907A8E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5E7021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A48970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4AD7CD59"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07EFE2CA"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Finland</w:t>
            </w:r>
          </w:p>
        </w:tc>
        <w:tc>
          <w:tcPr>
            <w:tcW w:w="265" w:type="pct"/>
            <w:tcBorders>
              <w:top w:val="nil"/>
              <w:left w:val="nil"/>
              <w:bottom w:val="single" w:sz="4" w:space="0" w:color="000000"/>
              <w:right w:val="single" w:sz="4" w:space="0" w:color="000000"/>
            </w:tcBorders>
            <w:noWrap/>
            <w:vAlign w:val="bottom"/>
            <w:hideMark/>
          </w:tcPr>
          <w:p w14:paraId="18DC028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B59AFC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AB99B7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5.3</w:t>
            </w:r>
          </w:p>
        </w:tc>
        <w:tc>
          <w:tcPr>
            <w:tcW w:w="265" w:type="pct"/>
            <w:tcBorders>
              <w:top w:val="nil"/>
              <w:left w:val="nil"/>
              <w:bottom w:val="single" w:sz="4" w:space="0" w:color="000000"/>
              <w:right w:val="single" w:sz="4" w:space="0" w:color="000000"/>
            </w:tcBorders>
            <w:noWrap/>
            <w:vAlign w:val="bottom"/>
            <w:hideMark/>
          </w:tcPr>
          <w:p w14:paraId="4D8D2DB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C1ED1D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566011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3543FE0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w:t>
            </w:r>
          </w:p>
        </w:tc>
        <w:tc>
          <w:tcPr>
            <w:tcW w:w="452" w:type="pct"/>
            <w:tcBorders>
              <w:top w:val="nil"/>
              <w:left w:val="nil"/>
              <w:bottom w:val="single" w:sz="4" w:space="0" w:color="000000"/>
              <w:right w:val="single" w:sz="4" w:space="0" w:color="000000"/>
            </w:tcBorders>
            <w:noWrap/>
            <w:vAlign w:val="bottom"/>
            <w:hideMark/>
          </w:tcPr>
          <w:p w14:paraId="0C765C3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3BC90D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40E0A7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12.9</w:t>
            </w:r>
          </w:p>
        </w:tc>
        <w:tc>
          <w:tcPr>
            <w:tcW w:w="452" w:type="pct"/>
            <w:tcBorders>
              <w:top w:val="nil"/>
              <w:left w:val="nil"/>
              <w:bottom w:val="single" w:sz="4" w:space="0" w:color="000000"/>
              <w:right w:val="single" w:sz="4" w:space="0" w:color="000000"/>
            </w:tcBorders>
            <w:noWrap/>
            <w:vAlign w:val="bottom"/>
            <w:hideMark/>
          </w:tcPr>
          <w:p w14:paraId="09B40FB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BCC61F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313A6E2D"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53EDB023"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France</w:t>
            </w:r>
          </w:p>
        </w:tc>
        <w:tc>
          <w:tcPr>
            <w:tcW w:w="265" w:type="pct"/>
            <w:tcBorders>
              <w:top w:val="nil"/>
              <w:left w:val="nil"/>
              <w:bottom w:val="single" w:sz="4" w:space="0" w:color="000000"/>
              <w:right w:val="single" w:sz="4" w:space="0" w:color="000000"/>
            </w:tcBorders>
            <w:noWrap/>
            <w:vAlign w:val="bottom"/>
            <w:hideMark/>
          </w:tcPr>
          <w:p w14:paraId="608B22A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4BC544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7F90C5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5.6</w:t>
            </w:r>
          </w:p>
        </w:tc>
        <w:tc>
          <w:tcPr>
            <w:tcW w:w="265" w:type="pct"/>
            <w:tcBorders>
              <w:top w:val="nil"/>
              <w:left w:val="nil"/>
              <w:bottom w:val="single" w:sz="4" w:space="0" w:color="000000"/>
              <w:right w:val="single" w:sz="4" w:space="0" w:color="000000"/>
            </w:tcBorders>
            <w:noWrap/>
            <w:vAlign w:val="bottom"/>
            <w:hideMark/>
          </w:tcPr>
          <w:p w14:paraId="085A5CF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DAC310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1E21BE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7A5573D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9.6</w:t>
            </w:r>
          </w:p>
        </w:tc>
        <w:tc>
          <w:tcPr>
            <w:tcW w:w="452" w:type="pct"/>
            <w:tcBorders>
              <w:top w:val="nil"/>
              <w:left w:val="nil"/>
              <w:bottom w:val="single" w:sz="4" w:space="0" w:color="000000"/>
              <w:right w:val="single" w:sz="4" w:space="0" w:color="000000"/>
            </w:tcBorders>
            <w:noWrap/>
            <w:vAlign w:val="bottom"/>
            <w:hideMark/>
          </w:tcPr>
          <w:p w14:paraId="3B4AC44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E59576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0479C77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EE5953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89A444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2D67EA74"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29A17D08"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Germany</w:t>
            </w:r>
          </w:p>
        </w:tc>
        <w:tc>
          <w:tcPr>
            <w:tcW w:w="265" w:type="pct"/>
            <w:tcBorders>
              <w:top w:val="nil"/>
              <w:left w:val="nil"/>
              <w:bottom w:val="single" w:sz="4" w:space="0" w:color="000000"/>
              <w:right w:val="single" w:sz="4" w:space="0" w:color="000000"/>
            </w:tcBorders>
            <w:noWrap/>
            <w:vAlign w:val="bottom"/>
            <w:hideMark/>
          </w:tcPr>
          <w:p w14:paraId="334656B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C79E79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BB6C41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5.1</w:t>
            </w:r>
          </w:p>
        </w:tc>
        <w:tc>
          <w:tcPr>
            <w:tcW w:w="265" w:type="pct"/>
            <w:tcBorders>
              <w:top w:val="nil"/>
              <w:left w:val="nil"/>
              <w:bottom w:val="single" w:sz="4" w:space="0" w:color="000000"/>
              <w:right w:val="single" w:sz="4" w:space="0" w:color="000000"/>
            </w:tcBorders>
            <w:noWrap/>
            <w:vAlign w:val="bottom"/>
            <w:hideMark/>
          </w:tcPr>
          <w:p w14:paraId="0D8E0C6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D7DFDD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581079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420BF7F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9.6</w:t>
            </w:r>
          </w:p>
        </w:tc>
        <w:tc>
          <w:tcPr>
            <w:tcW w:w="452" w:type="pct"/>
            <w:tcBorders>
              <w:top w:val="nil"/>
              <w:left w:val="nil"/>
              <w:bottom w:val="single" w:sz="4" w:space="0" w:color="000000"/>
              <w:right w:val="single" w:sz="4" w:space="0" w:color="000000"/>
            </w:tcBorders>
            <w:noWrap/>
            <w:vAlign w:val="bottom"/>
            <w:hideMark/>
          </w:tcPr>
          <w:p w14:paraId="603420E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ADF593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56F8E1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3ABF2A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13.1</w:t>
            </w:r>
          </w:p>
        </w:tc>
        <w:tc>
          <w:tcPr>
            <w:tcW w:w="452" w:type="pct"/>
            <w:tcBorders>
              <w:top w:val="nil"/>
              <w:left w:val="nil"/>
              <w:bottom w:val="single" w:sz="4" w:space="0" w:color="000000"/>
              <w:right w:val="single" w:sz="4" w:space="0" w:color="000000"/>
            </w:tcBorders>
            <w:noWrap/>
            <w:vAlign w:val="bottom"/>
            <w:hideMark/>
          </w:tcPr>
          <w:p w14:paraId="068813B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56ACFD75"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069A41BB"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Greece</w:t>
            </w:r>
          </w:p>
        </w:tc>
        <w:tc>
          <w:tcPr>
            <w:tcW w:w="265" w:type="pct"/>
            <w:tcBorders>
              <w:top w:val="nil"/>
              <w:left w:val="nil"/>
              <w:bottom w:val="single" w:sz="4" w:space="0" w:color="000000"/>
              <w:right w:val="single" w:sz="4" w:space="0" w:color="000000"/>
            </w:tcBorders>
            <w:noWrap/>
            <w:vAlign w:val="bottom"/>
            <w:hideMark/>
          </w:tcPr>
          <w:p w14:paraId="66D8516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3.2</w:t>
            </w:r>
          </w:p>
        </w:tc>
        <w:tc>
          <w:tcPr>
            <w:tcW w:w="265" w:type="pct"/>
            <w:tcBorders>
              <w:top w:val="nil"/>
              <w:left w:val="nil"/>
              <w:bottom w:val="single" w:sz="4" w:space="0" w:color="000000"/>
              <w:right w:val="single" w:sz="4" w:space="0" w:color="000000"/>
            </w:tcBorders>
            <w:noWrap/>
            <w:vAlign w:val="bottom"/>
            <w:hideMark/>
          </w:tcPr>
          <w:p w14:paraId="13B7347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66533A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37AF61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6.4</w:t>
            </w:r>
          </w:p>
        </w:tc>
        <w:tc>
          <w:tcPr>
            <w:tcW w:w="265" w:type="pct"/>
            <w:tcBorders>
              <w:top w:val="nil"/>
              <w:left w:val="nil"/>
              <w:bottom w:val="single" w:sz="4" w:space="0" w:color="000000"/>
              <w:right w:val="single" w:sz="4" w:space="0" w:color="000000"/>
            </w:tcBorders>
            <w:noWrap/>
            <w:vAlign w:val="bottom"/>
            <w:hideMark/>
          </w:tcPr>
          <w:p w14:paraId="3F3EBBC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4B66D5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458DE80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w:t>
            </w:r>
          </w:p>
        </w:tc>
        <w:tc>
          <w:tcPr>
            <w:tcW w:w="452" w:type="pct"/>
            <w:tcBorders>
              <w:top w:val="nil"/>
              <w:left w:val="nil"/>
              <w:bottom w:val="single" w:sz="4" w:space="0" w:color="000000"/>
              <w:right w:val="single" w:sz="4" w:space="0" w:color="000000"/>
            </w:tcBorders>
            <w:noWrap/>
            <w:vAlign w:val="bottom"/>
            <w:hideMark/>
          </w:tcPr>
          <w:p w14:paraId="700BB95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0CD3676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5319D1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B63BB8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C1D9A1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02D96015"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45844593"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Iceland</w:t>
            </w:r>
          </w:p>
        </w:tc>
        <w:tc>
          <w:tcPr>
            <w:tcW w:w="265" w:type="pct"/>
            <w:tcBorders>
              <w:top w:val="nil"/>
              <w:left w:val="nil"/>
              <w:bottom w:val="single" w:sz="4" w:space="0" w:color="000000"/>
              <w:right w:val="single" w:sz="4" w:space="0" w:color="000000"/>
            </w:tcBorders>
            <w:noWrap/>
            <w:vAlign w:val="bottom"/>
            <w:hideMark/>
          </w:tcPr>
          <w:p w14:paraId="7E6DEA9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9CDD36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83354B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445722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73835A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270180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8.4</w:t>
            </w:r>
          </w:p>
        </w:tc>
        <w:tc>
          <w:tcPr>
            <w:tcW w:w="359" w:type="pct"/>
            <w:tcBorders>
              <w:top w:val="nil"/>
              <w:left w:val="nil"/>
              <w:bottom w:val="single" w:sz="4" w:space="0" w:color="000000"/>
              <w:right w:val="single" w:sz="4" w:space="0" w:color="000000"/>
            </w:tcBorders>
            <w:noWrap/>
            <w:vAlign w:val="bottom"/>
            <w:hideMark/>
          </w:tcPr>
          <w:p w14:paraId="1156606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9BDB23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10.6</w:t>
            </w:r>
          </w:p>
        </w:tc>
        <w:tc>
          <w:tcPr>
            <w:tcW w:w="452" w:type="pct"/>
            <w:tcBorders>
              <w:top w:val="nil"/>
              <w:left w:val="nil"/>
              <w:bottom w:val="single" w:sz="4" w:space="0" w:color="000000"/>
              <w:right w:val="single" w:sz="4" w:space="0" w:color="000000"/>
            </w:tcBorders>
            <w:noWrap/>
            <w:vAlign w:val="bottom"/>
            <w:hideMark/>
          </w:tcPr>
          <w:p w14:paraId="3D6B2E3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3D9CBD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56D4C8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D1E6A1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5300836C"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6847CA09"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Ireland</w:t>
            </w:r>
          </w:p>
        </w:tc>
        <w:tc>
          <w:tcPr>
            <w:tcW w:w="265" w:type="pct"/>
            <w:tcBorders>
              <w:top w:val="nil"/>
              <w:left w:val="nil"/>
              <w:bottom w:val="single" w:sz="4" w:space="0" w:color="000000"/>
              <w:right w:val="single" w:sz="4" w:space="0" w:color="000000"/>
            </w:tcBorders>
            <w:noWrap/>
            <w:vAlign w:val="bottom"/>
            <w:hideMark/>
          </w:tcPr>
          <w:p w14:paraId="251EB54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3.5</w:t>
            </w:r>
          </w:p>
        </w:tc>
        <w:tc>
          <w:tcPr>
            <w:tcW w:w="265" w:type="pct"/>
            <w:tcBorders>
              <w:top w:val="nil"/>
              <w:left w:val="nil"/>
              <w:bottom w:val="single" w:sz="4" w:space="0" w:color="000000"/>
              <w:right w:val="single" w:sz="4" w:space="0" w:color="000000"/>
            </w:tcBorders>
            <w:noWrap/>
            <w:vAlign w:val="bottom"/>
            <w:hideMark/>
          </w:tcPr>
          <w:p w14:paraId="261C645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A43374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5.4</w:t>
            </w:r>
          </w:p>
        </w:tc>
        <w:tc>
          <w:tcPr>
            <w:tcW w:w="265" w:type="pct"/>
            <w:tcBorders>
              <w:top w:val="nil"/>
              <w:left w:val="nil"/>
              <w:bottom w:val="single" w:sz="4" w:space="0" w:color="000000"/>
              <w:right w:val="single" w:sz="4" w:space="0" w:color="000000"/>
            </w:tcBorders>
            <w:noWrap/>
            <w:vAlign w:val="bottom"/>
            <w:hideMark/>
          </w:tcPr>
          <w:p w14:paraId="6FAB689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DD7661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7.1</w:t>
            </w:r>
          </w:p>
        </w:tc>
        <w:tc>
          <w:tcPr>
            <w:tcW w:w="265" w:type="pct"/>
            <w:tcBorders>
              <w:top w:val="nil"/>
              <w:left w:val="nil"/>
              <w:bottom w:val="single" w:sz="4" w:space="0" w:color="000000"/>
              <w:right w:val="single" w:sz="4" w:space="0" w:color="000000"/>
            </w:tcBorders>
            <w:noWrap/>
            <w:vAlign w:val="bottom"/>
            <w:hideMark/>
          </w:tcPr>
          <w:p w14:paraId="6B74F52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00ED766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9.5</w:t>
            </w:r>
          </w:p>
        </w:tc>
        <w:tc>
          <w:tcPr>
            <w:tcW w:w="452" w:type="pct"/>
            <w:tcBorders>
              <w:top w:val="nil"/>
              <w:left w:val="nil"/>
              <w:bottom w:val="single" w:sz="4" w:space="0" w:color="000000"/>
              <w:right w:val="single" w:sz="4" w:space="0" w:color="000000"/>
            </w:tcBorders>
            <w:noWrap/>
            <w:vAlign w:val="bottom"/>
            <w:hideMark/>
          </w:tcPr>
          <w:p w14:paraId="30E3AE2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99DB1A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1B4B5E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CB2845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78CE38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14.7</w:t>
            </w:r>
          </w:p>
        </w:tc>
      </w:tr>
      <w:tr w:rsidR="00552862" w:rsidRPr="00A279C8" w14:paraId="2E8EBECB"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55BEA731"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Italy</w:t>
            </w:r>
          </w:p>
        </w:tc>
        <w:tc>
          <w:tcPr>
            <w:tcW w:w="265" w:type="pct"/>
            <w:tcBorders>
              <w:top w:val="nil"/>
              <w:left w:val="nil"/>
              <w:bottom w:val="single" w:sz="4" w:space="0" w:color="000000"/>
              <w:right w:val="single" w:sz="4" w:space="0" w:color="000000"/>
            </w:tcBorders>
            <w:noWrap/>
            <w:vAlign w:val="bottom"/>
            <w:hideMark/>
          </w:tcPr>
          <w:p w14:paraId="0E20DE4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DFC8E6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CEFF73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5.4</w:t>
            </w:r>
          </w:p>
        </w:tc>
        <w:tc>
          <w:tcPr>
            <w:tcW w:w="265" w:type="pct"/>
            <w:tcBorders>
              <w:top w:val="nil"/>
              <w:left w:val="nil"/>
              <w:bottom w:val="single" w:sz="4" w:space="0" w:color="000000"/>
              <w:right w:val="single" w:sz="4" w:space="0" w:color="000000"/>
            </w:tcBorders>
            <w:noWrap/>
            <w:vAlign w:val="bottom"/>
            <w:hideMark/>
          </w:tcPr>
          <w:p w14:paraId="1CEC8F4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A40EED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818288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01D72B7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9.9</w:t>
            </w:r>
          </w:p>
        </w:tc>
        <w:tc>
          <w:tcPr>
            <w:tcW w:w="452" w:type="pct"/>
            <w:tcBorders>
              <w:top w:val="nil"/>
              <w:left w:val="nil"/>
              <w:bottom w:val="single" w:sz="4" w:space="0" w:color="000000"/>
              <w:right w:val="single" w:sz="4" w:space="0" w:color="000000"/>
            </w:tcBorders>
            <w:noWrap/>
            <w:vAlign w:val="bottom"/>
            <w:hideMark/>
          </w:tcPr>
          <w:p w14:paraId="36AA5F9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12155D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6E7A00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EF314D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E73764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743B6827"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353A4298"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Japan</w:t>
            </w:r>
          </w:p>
        </w:tc>
        <w:tc>
          <w:tcPr>
            <w:tcW w:w="265" w:type="pct"/>
            <w:tcBorders>
              <w:top w:val="nil"/>
              <w:left w:val="nil"/>
              <w:bottom w:val="single" w:sz="4" w:space="0" w:color="000000"/>
              <w:right w:val="single" w:sz="4" w:space="0" w:color="000000"/>
            </w:tcBorders>
            <w:noWrap/>
            <w:vAlign w:val="bottom"/>
            <w:hideMark/>
          </w:tcPr>
          <w:p w14:paraId="17199AB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C5000C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43A4D3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5.5</w:t>
            </w:r>
          </w:p>
        </w:tc>
        <w:tc>
          <w:tcPr>
            <w:tcW w:w="265" w:type="pct"/>
            <w:tcBorders>
              <w:top w:val="nil"/>
              <w:left w:val="nil"/>
              <w:bottom w:val="single" w:sz="4" w:space="0" w:color="000000"/>
              <w:right w:val="single" w:sz="4" w:space="0" w:color="000000"/>
            </w:tcBorders>
            <w:noWrap/>
            <w:vAlign w:val="bottom"/>
            <w:hideMark/>
          </w:tcPr>
          <w:p w14:paraId="3BB069E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9DABA1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722375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56B29C0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9.3</w:t>
            </w:r>
          </w:p>
        </w:tc>
        <w:tc>
          <w:tcPr>
            <w:tcW w:w="452" w:type="pct"/>
            <w:tcBorders>
              <w:top w:val="nil"/>
              <w:left w:val="nil"/>
              <w:bottom w:val="single" w:sz="4" w:space="0" w:color="000000"/>
              <w:right w:val="single" w:sz="4" w:space="0" w:color="000000"/>
            </w:tcBorders>
            <w:noWrap/>
            <w:vAlign w:val="bottom"/>
            <w:hideMark/>
          </w:tcPr>
          <w:p w14:paraId="1D1805E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DA6DDC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59644D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0DB3B5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57FD5D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06A9578B"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26179236"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Korea</w:t>
            </w:r>
          </w:p>
        </w:tc>
        <w:tc>
          <w:tcPr>
            <w:tcW w:w="265" w:type="pct"/>
            <w:tcBorders>
              <w:top w:val="nil"/>
              <w:left w:val="nil"/>
              <w:bottom w:val="single" w:sz="4" w:space="0" w:color="000000"/>
              <w:right w:val="single" w:sz="4" w:space="0" w:color="000000"/>
            </w:tcBorders>
            <w:noWrap/>
            <w:vAlign w:val="bottom"/>
            <w:hideMark/>
          </w:tcPr>
          <w:p w14:paraId="7150E6C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7B22CD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4.7</w:t>
            </w:r>
          </w:p>
        </w:tc>
        <w:tc>
          <w:tcPr>
            <w:tcW w:w="265" w:type="pct"/>
            <w:tcBorders>
              <w:top w:val="nil"/>
              <w:left w:val="nil"/>
              <w:bottom w:val="single" w:sz="4" w:space="0" w:color="000000"/>
              <w:right w:val="single" w:sz="4" w:space="0" w:color="000000"/>
            </w:tcBorders>
            <w:noWrap/>
            <w:vAlign w:val="bottom"/>
            <w:hideMark/>
          </w:tcPr>
          <w:p w14:paraId="1970331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063D4A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0E24E2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4DD2A8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43B6392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9.2</w:t>
            </w:r>
          </w:p>
        </w:tc>
        <w:tc>
          <w:tcPr>
            <w:tcW w:w="452" w:type="pct"/>
            <w:tcBorders>
              <w:top w:val="nil"/>
              <w:left w:val="nil"/>
              <w:bottom w:val="single" w:sz="4" w:space="0" w:color="000000"/>
              <w:right w:val="single" w:sz="4" w:space="0" w:color="000000"/>
            </w:tcBorders>
            <w:noWrap/>
            <w:vAlign w:val="bottom"/>
            <w:hideMark/>
          </w:tcPr>
          <w:p w14:paraId="40BB2F4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810E99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BDF28C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B2CB7C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D934AC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36B02D07"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29902466"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Luxembourg</w:t>
            </w:r>
          </w:p>
        </w:tc>
        <w:tc>
          <w:tcPr>
            <w:tcW w:w="265" w:type="pct"/>
            <w:tcBorders>
              <w:top w:val="nil"/>
              <w:left w:val="nil"/>
              <w:bottom w:val="single" w:sz="4" w:space="0" w:color="000000"/>
              <w:right w:val="single" w:sz="4" w:space="0" w:color="000000"/>
            </w:tcBorders>
            <w:noWrap/>
            <w:vAlign w:val="bottom"/>
            <w:hideMark/>
          </w:tcPr>
          <w:p w14:paraId="19D119A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5D2B34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4</w:t>
            </w:r>
          </w:p>
        </w:tc>
        <w:tc>
          <w:tcPr>
            <w:tcW w:w="265" w:type="pct"/>
            <w:tcBorders>
              <w:top w:val="nil"/>
              <w:left w:val="nil"/>
              <w:bottom w:val="single" w:sz="4" w:space="0" w:color="000000"/>
              <w:right w:val="single" w:sz="4" w:space="0" w:color="000000"/>
            </w:tcBorders>
            <w:noWrap/>
            <w:vAlign w:val="bottom"/>
            <w:hideMark/>
          </w:tcPr>
          <w:p w14:paraId="7F35665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EA306F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F5028E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7.2</w:t>
            </w:r>
          </w:p>
        </w:tc>
        <w:tc>
          <w:tcPr>
            <w:tcW w:w="265" w:type="pct"/>
            <w:tcBorders>
              <w:top w:val="nil"/>
              <w:left w:val="nil"/>
              <w:bottom w:val="single" w:sz="4" w:space="0" w:color="000000"/>
              <w:right w:val="single" w:sz="4" w:space="0" w:color="000000"/>
            </w:tcBorders>
            <w:noWrap/>
            <w:vAlign w:val="bottom"/>
            <w:hideMark/>
          </w:tcPr>
          <w:p w14:paraId="113DC53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09C48C2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9.1</w:t>
            </w:r>
          </w:p>
        </w:tc>
        <w:tc>
          <w:tcPr>
            <w:tcW w:w="452" w:type="pct"/>
            <w:tcBorders>
              <w:top w:val="nil"/>
              <w:left w:val="nil"/>
              <w:bottom w:val="single" w:sz="4" w:space="0" w:color="000000"/>
              <w:right w:val="single" w:sz="4" w:space="0" w:color="000000"/>
            </w:tcBorders>
            <w:noWrap/>
            <w:vAlign w:val="bottom"/>
            <w:hideMark/>
          </w:tcPr>
          <w:p w14:paraId="5441899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1481C0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6681EE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137615D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430296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14.3</w:t>
            </w:r>
          </w:p>
        </w:tc>
      </w:tr>
      <w:tr w:rsidR="00552862" w:rsidRPr="00A279C8" w14:paraId="11740589"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1FBC47A0"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Mexico</w:t>
            </w:r>
          </w:p>
        </w:tc>
        <w:tc>
          <w:tcPr>
            <w:tcW w:w="265" w:type="pct"/>
            <w:tcBorders>
              <w:top w:val="nil"/>
              <w:left w:val="nil"/>
              <w:bottom w:val="single" w:sz="4" w:space="0" w:color="000000"/>
              <w:right w:val="single" w:sz="4" w:space="0" w:color="000000"/>
            </w:tcBorders>
            <w:noWrap/>
            <w:vAlign w:val="bottom"/>
            <w:hideMark/>
          </w:tcPr>
          <w:p w14:paraId="1514960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1CD2AC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6EF7ED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5.1</w:t>
            </w:r>
          </w:p>
        </w:tc>
        <w:tc>
          <w:tcPr>
            <w:tcW w:w="265" w:type="pct"/>
            <w:tcBorders>
              <w:top w:val="nil"/>
              <w:left w:val="nil"/>
              <w:bottom w:val="single" w:sz="4" w:space="0" w:color="000000"/>
              <w:right w:val="single" w:sz="4" w:space="0" w:color="000000"/>
            </w:tcBorders>
            <w:noWrap/>
            <w:vAlign w:val="bottom"/>
            <w:hideMark/>
          </w:tcPr>
          <w:p w14:paraId="6CE1064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FBB5A7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18969C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8.7</w:t>
            </w:r>
          </w:p>
        </w:tc>
        <w:tc>
          <w:tcPr>
            <w:tcW w:w="359" w:type="pct"/>
            <w:tcBorders>
              <w:top w:val="nil"/>
              <w:left w:val="nil"/>
              <w:bottom w:val="single" w:sz="4" w:space="0" w:color="000000"/>
              <w:right w:val="single" w:sz="4" w:space="0" w:color="000000"/>
            </w:tcBorders>
            <w:noWrap/>
            <w:vAlign w:val="bottom"/>
            <w:hideMark/>
          </w:tcPr>
          <w:p w14:paraId="2FACEBF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17E60ED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FD353D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11.9</w:t>
            </w:r>
          </w:p>
        </w:tc>
        <w:tc>
          <w:tcPr>
            <w:tcW w:w="452" w:type="pct"/>
            <w:tcBorders>
              <w:top w:val="nil"/>
              <w:left w:val="nil"/>
              <w:bottom w:val="single" w:sz="4" w:space="0" w:color="000000"/>
              <w:right w:val="single" w:sz="4" w:space="0" w:color="000000"/>
            </w:tcBorders>
            <w:noWrap/>
            <w:vAlign w:val="bottom"/>
            <w:hideMark/>
          </w:tcPr>
          <w:p w14:paraId="19438EB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FC6937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1015052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31A26275"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2B05141D"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Norway</w:t>
            </w:r>
          </w:p>
        </w:tc>
        <w:tc>
          <w:tcPr>
            <w:tcW w:w="265" w:type="pct"/>
            <w:tcBorders>
              <w:top w:val="nil"/>
              <w:left w:val="nil"/>
              <w:bottom w:val="single" w:sz="4" w:space="0" w:color="000000"/>
              <w:right w:val="single" w:sz="4" w:space="0" w:color="000000"/>
            </w:tcBorders>
            <w:noWrap/>
            <w:vAlign w:val="bottom"/>
            <w:hideMark/>
          </w:tcPr>
          <w:p w14:paraId="7CE170F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FB81BD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511964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EBEBCB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6.2</w:t>
            </w:r>
          </w:p>
        </w:tc>
        <w:tc>
          <w:tcPr>
            <w:tcW w:w="265" w:type="pct"/>
            <w:tcBorders>
              <w:top w:val="nil"/>
              <w:left w:val="nil"/>
              <w:bottom w:val="single" w:sz="4" w:space="0" w:color="000000"/>
              <w:right w:val="single" w:sz="4" w:space="0" w:color="000000"/>
            </w:tcBorders>
            <w:noWrap/>
            <w:vAlign w:val="bottom"/>
            <w:hideMark/>
          </w:tcPr>
          <w:p w14:paraId="4659B42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A6144E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009D8B7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6FB3E0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10.4</w:t>
            </w:r>
          </w:p>
        </w:tc>
        <w:tc>
          <w:tcPr>
            <w:tcW w:w="452" w:type="pct"/>
            <w:tcBorders>
              <w:top w:val="nil"/>
              <w:left w:val="nil"/>
              <w:bottom w:val="single" w:sz="4" w:space="0" w:color="000000"/>
              <w:right w:val="single" w:sz="4" w:space="0" w:color="000000"/>
            </w:tcBorders>
            <w:noWrap/>
            <w:vAlign w:val="bottom"/>
            <w:hideMark/>
          </w:tcPr>
          <w:p w14:paraId="5F86589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000C4C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88A348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90CF86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0E1A05BF"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3DA7F094"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OECD Europe</w:t>
            </w:r>
          </w:p>
        </w:tc>
        <w:tc>
          <w:tcPr>
            <w:tcW w:w="265" w:type="pct"/>
            <w:tcBorders>
              <w:top w:val="nil"/>
              <w:left w:val="nil"/>
              <w:bottom w:val="single" w:sz="4" w:space="0" w:color="000000"/>
              <w:right w:val="single" w:sz="4" w:space="0" w:color="000000"/>
            </w:tcBorders>
            <w:noWrap/>
            <w:vAlign w:val="bottom"/>
            <w:hideMark/>
          </w:tcPr>
          <w:p w14:paraId="6EC541F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07FB52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E54B97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5.5</w:t>
            </w:r>
          </w:p>
        </w:tc>
        <w:tc>
          <w:tcPr>
            <w:tcW w:w="265" w:type="pct"/>
            <w:tcBorders>
              <w:top w:val="nil"/>
              <w:left w:val="nil"/>
              <w:bottom w:val="single" w:sz="4" w:space="0" w:color="000000"/>
              <w:right w:val="single" w:sz="4" w:space="0" w:color="000000"/>
            </w:tcBorders>
            <w:noWrap/>
            <w:vAlign w:val="bottom"/>
            <w:hideMark/>
          </w:tcPr>
          <w:p w14:paraId="735CA59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44A2A2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C4054A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7AFCDB9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9.5</w:t>
            </w:r>
          </w:p>
        </w:tc>
        <w:tc>
          <w:tcPr>
            <w:tcW w:w="452" w:type="pct"/>
            <w:tcBorders>
              <w:top w:val="nil"/>
              <w:left w:val="nil"/>
              <w:bottom w:val="single" w:sz="4" w:space="0" w:color="000000"/>
              <w:right w:val="single" w:sz="4" w:space="0" w:color="000000"/>
            </w:tcBorders>
            <w:noWrap/>
            <w:vAlign w:val="bottom"/>
            <w:hideMark/>
          </w:tcPr>
          <w:p w14:paraId="5180336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E40B54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377743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8B1E20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B3A13E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2CB2F5FA"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175B23CA"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Portugal</w:t>
            </w:r>
          </w:p>
        </w:tc>
        <w:tc>
          <w:tcPr>
            <w:tcW w:w="265" w:type="pct"/>
            <w:tcBorders>
              <w:top w:val="nil"/>
              <w:left w:val="nil"/>
              <w:bottom w:val="single" w:sz="4" w:space="0" w:color="000000"/>
              <w:right w:val="single" w:sz="4" w:space="0" w:color="000000"/>
            </w:tcBorders>
            <w:noWrap/>
            <w:vAlign w:val="bottom"/>
            <w:hideMark/>
          </w:tcPr>
          <w:p w14:paraId="1E78C71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3.2</w:t>
            </w:r>
          </w:p>
        </w:tc>
        <w:tc>
          <w:tcPr>
            <w:tcW w:w="265" w:type="pct"/>
            <w:tcBorders>
              <w:top w:val="nil"/>
              <w:left w:val="nil"/>
              <w:bottom w:val="single" w:sz="4" w:space="0" w:color="000000"/>
              <w:right w:val="single" w:sz="4" w:space="0" w:color="000000"/>
            </w:tcBorders>
            <w:noWrap/>
            <w:vAlign w:val="bottom"/>
            <w:hideMark/>
          </w:tcPr>
          <w:p w14:paraId="1A7A748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6D446B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8A9A9C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FE231B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39958C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6CEE847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9.6</w:t>
            </w:r>
          </w:p>
        </w:tc>
        <w:tc>
          <w:tcPr>
            <w:tcW w:w="452" w:type="pct"/>
            <w:tcBorders>
              <w:top w:val="nil"/>
              <w:left w:val="nil"/>
              <w:bottom w:val="single" w:sz="4" w:space="0" w:color="000000"/>
              <w:right w:val="single" w:sz="4" w:space="0" w:color="000000"/>
            </w:tcBorders>
            <w:noWrap/>
            <w:vAlign w:val="bottom"/>
            <w:hideMark/>
          </w:tcPr>
          <w:p w14:paraId="155D4E8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799936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19B825B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88BB4C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2A2DAD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2C128626"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6893394E"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South Africa</w:t>
            </w:r>
          </w:p>
        </w:tc>
        <w:tc>
          <w:tcPr>
            <w:tcW w:w="265" w:type="pct"/>
            <w:tcBorders>
              <w:top w:val="nil"/>
              <w:left w:val="nil"/>
              <w:bottom w:val="single" w:sz="4" w:space="0" w:color="000000"/>
              <w:right w:val="single" w:sz="4" w:space="0" w:color="000000"/>
            </w:tcBorders>
            <w:noWrap/>
            <w:vAlign w:val="bottom"/>
            <w:hideMark/>
          </w:tcPr>
          <w:p w14:paraId="730A5C1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F7C011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3430A0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5.4</w:t>
            </w:r>
          </w:p>
        </w:tc>
        <w:tc>
          <w:tcPr>
            <w:tcW w:w="265" w:type="pct"/>
            <w:tcBorders>
              <w:top w:val="nil"/>
              <w:left w:val="nil"/>
              <w:bottom w:val="single" w:sz="4" w:space="0" w:color="000000"/>
              <w:right w:val="single" w:sz="4" w:space="0" w:color="000000"/>
            </w:tcBorders>
            <w:noWrap/>
            <w:vAlign w:val="bottom"/>
            <w:hideMark/>
          </w:tcPr>
          <w:p w14:paraId="3DE38DD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DC499B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A4AE07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8.2</w:t>
            </w:r>
          </w:p>
        </w:tc>
        <w:tc>
          <w:tcPr>
            <w:tcW w:w="359" w:type="pct"/>
            <w:tcBorders>
              <w:top w:val="nil"/>
              <w:left w:val="nil"/>
              <w:bottom w:val="single" w:sz="4" w:space="0" w:color="000000"/>
              <w:right w:val="single" w:sz="4" w:space="0" w:color="000000"/>
            </w:tcBorders>
            <w:noWrap/>
            <w:vAlign w:val="bottom"/>
            <w:hideMark/>
          </w:tcPr>
          <w:p w14:paraId="059147C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17ACF3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F6C66D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0CB23B9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12.8</w:t>
            </w:r>
          </w:p>
        </w:tc>
        <w:tc>
          <w:tcPr>
            <w:tcW w:w="452" w:type="pct"/>
            <w:tcBorders>
              <w:top w:val="nil"/>
              <w:left w:val="nil"/>
              <w:bottom w:val="single" w:sz="4" w:space="0" w:color="000000"/>
              <w:right w:val="single" w:sz="4" w:space="0" w:color="000000"/>
            </w:tcBorders>
            <w:noWrap/>
            <w:vAlign w:val="bottom"/>
            <w:hideMark/>
          </w:tcPr>
          <w:p w14:paraId="2CA508D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251ED8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4A84968A"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5DB1306D"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Spain</w:t>
            </w:r>
          </w:p>
        </w:tc>
        <w:tc>
          <w:tcPr>
            <w:tcW w:w="265" w:type="pct"/>
            <w:tcBorders>
              <w:top w:val="nil"/>
              <w:left w:val="nil"/>
              <w:bottom w:val="single" w:sz="4" w:space="0" w:color="000000"/>
              <w:right w:val="single" w:sz="4" w:space="0" w:color="000000"/>
            </w:tcBorders>
            <w:noWrap/>
            <w:vAlign w:val="bottom"/>
            <w:hideMark/>
          </w:tcPr>
          <w:p w14:paraId="719BB08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7CCFBFD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4.9</w:t>
            </w:r>
          </w:p>
        </w:tc>
        <w:tc>
          <w:tcPr>
            <w:tcW w:w="265" w:type="pct"/>
            <w:tcBorders>
              <w:top w:val="nil"/>
              <w:left w:val="nil"/>
              <w:bottom w:val="single" w:sz="4" w:space="0" w:color="000000"/>
              <w:right w:val="single" w:sz="4" w:space="0" w:color="000000"/>
            </w:tcBorders>
            <w:noWrap/>
            <w:vAlign w:val="bottom"/>
            <w:hideMark/>
          </w:tcPr>
          <w:p w14:paraId="4900BB0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C1406D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7570CE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19770A9"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79C9BC5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9.2</w:t>
            </w:r>
          </w:p>
        </w:tc>
        <w:tc>
          <w:tcPr>
            <w:tcW w:w="452" w:type="pct"/>
            <w:tcBorders>
              <w:top w:val="nil"/>
              <w:left w:val="nil"/>
              <w:bottom w:val="single" w:sz="4" w:space="0" w:color="000000"/>
              <w:right w:val="single" w:sz="4" w:space="0" w:color="000000"/>
            </w:tcBorders>
            <w:noWrap/>
            <w:vAlign w:val="bottom"/>
            <w:hideMark/>
          </w:tcPr>
          <w:p w14:paraId="4B4B313E"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1EACF70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C8EC4A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C1A279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26D69E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10455D55"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5B8FFAE2"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Sweden</w:t>
            </w:r>
          </w:p>
        </w:tc>
        <w:tc>
          <w:tcPr>
            <w:tcW w:w="265" w:type="pct"/>
            <w:tcBorders>
              <w:top w:val="nil"/>
              <w:left w:val="nil"/>
              <w:bottom w:val="single" w:sz="4" w:space="0" w:color="000000"/>
              <w:right w:val="single" w:sz="4" w:space="0" w:color="000000"/>
            </w:tcBorders>
            <w:noWrap/>
            <w:vAlign w:val="bottom"/>
            <w:hideMark/>
          </w:tcPr>
          <w:p w14:paraId="3D98864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F63DA9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4C4837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5.1</w:t>
            </w:r>
          </w:p>
        </w:tc>
        <w:tc>
          <w:tcPr>
            <w:tcW w:w="265" w:type="pct"/>
            <w:tcBorders>
              <w:top w:val="nil"/>
              <w:left w:val="nil"/>
              <w:bottom w:val="single" w:sz="4" w:space="0" w:color="000000"/>
              <w:right w:val="single" w:sz="4" w:space="0" w:color="000000"/>
            </w:tcBorders>
            <w:noWrap/>
            <w:vAlign w:val="bottom"/>
            <w:hideMark/>
          </w:tcPr>
          <w:p w14:paraId="11F3DB6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333AA5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01BD6B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4708893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9.9</w:t>
            </w:r>
          </w:p>
        </w:tc>
        <w:tc>
          <w:tcPr>
            <w:tcW w:w="452" w:type="pct"/>
            <w:tcBorders>
              <w:top w:val="nil"/>
              <w:left w:val="nil"/>
              <w:bottom w:val="single" w:sz="4" w:space="0" w:color="000000"/>
              <w:right w:val="single" w:sz="4" w:space="0" w:color="000000"/>
            </w:tcBorders>
            <w:noWrap/>
            <w:vAlign w:val="bottom"/>
            <w:hideMark/>
          </w:tcPr>
          <w:p w14:paraId="2D84C3F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95DEF4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03B18B3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D37036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289EC9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49D3001F"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501A3382"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The Netherlands</w:t>
            </w:r>
          </w:p>
        </w:tc>
        <w:tc>
          <w:tcPr>
            <w:tcW w:w="265" w:type="pct"/>
            <w:tcBorders>
              <w:top w:val="nil"/>
              <w:left w:val="nil"/>
              <w:bottom w:val="single" w:sz="4" w:space="0" w:color="000000"/>
              <w:right w:val="single" w:sz="4" w:space="0" w:color="000000"/>
            </w:tcBorders>
            <w:noWrap/>
            <w:vAlign w:val="bottom"/>
            <w:hideMark/>
          </w:tcPr>
          <w:p w14:paraId="1836F3D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0F3480D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C40028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5.4</w:t>
            </w:r>
          </w:p>
        </w:tc>
        <w:tc>
          <w:tcPr>
            <w:tcW w:w="265" w:type="pct"/>
            <w:tcBorders>
              <w:top w:val="nil"/>
              <w:left w:val="nil"/>
              <w:bottom w:val="single" w:sz="4" w:space="0" w:color="000000"/>
              <w:right w:val="single" w:sz="4" w:space="0" w:color="000000"/>
            </w:tcBorders>
            <w:noWrap/>
            <w:vAlign w:val="bottom"/>
            <w:hideMark/>
          </w:tcPr>
          <w:p w14:paraId="6EAF203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F737F9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1CF3E60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53CC90A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9.5</w:t>
            </w:r>
          </w:p>
        </w:tc>
        <w:tc>
          <w:tcPr>
            <w:tcW w:w="452" w:type="pct"/>
            <w:tcBorders>
              <w:top w:val="nil"/>
              <w:left w:val="nil"/>
              <w:bottom w:val="single" w:sz="4" w:space="0" w:color="000000"/>
              <w:right w:val="single" w:sz="4" w:space="0" w:color="000000"/>
            </w:tcBorders>
            <w:noWrap/>
            <w:vAlign w:val="bottom"/>
            <w:hideMark/>
          </w:tcPr>
          <w:p w14:paraId="69D5548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818389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14402DF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7D2FEAD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13.6</w:t>
            </w:r>
          </w:p>
        </w:tc>
        <w:tc>
          <w:tcPr>
            <w:tcW w:w="452" w:type="pct"/>
            <w:tcBorders>
              <w:top w:val="nil"/>
              <w:left w:val="nil"/>
              <w:bottom w:val="single" w:sz="4" w:space="0" w:color="000000"/>
              <w:right w:val="single" w:sz="4" w:space="0" w:color="000000"/>
            </w:tcBorders>
            <w:noWrap/>
            <w:vAlign w:val="bottom"/>
            <w:hideMark/>
          </w:tcPr>
          <w:p w14:paraId="32503376"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433AA131"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3EB87F53"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UK</w:t>
            </w:r>
          </w:p>
        </w:tc>
        <w:tc>
          <w:tcPr>
            <w:tcW w:w="265" w:type="pct"/>
            <w:tcBorders>
              <w:top w:val="nil"/>
              <w:left w:val="nil"/>
              <w:bottom w:val="single" w:sz="4" w:space="0" w:color="000000"/>
              <w:right w:val="single" w:sz="4" w:space="0" w:color="000000"/>
            </w:tcBorders>
            <w:noWrap/>
            <w:vAlign w:val="bottom"/>
            <w:hideMark/>
          </w:tcPr>
          <w:p w14:paraId="46F979B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6BBFC7F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3766F7B8"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w:t>
            </w:r>
          </w:p>
        </w:tc>
        <w:tc>
          <w:tcPr>
            <w:tcW w:w="265" w:type="pct"/>
            <w:tcBorders>
              <w:top w:val="nil"/>
              <w:left w:val="nil"/>
              <w:bottom w:val="single" w:sz="4" w:space="0" w:color="000000"/>
              <w:right w:val="single" w:sz="4" w:space="0" w:color="000000"/>
            </w:tcBorders>
            <w:noWrap/>
            <w:vAlign w:val="bottom"/>
            <w:hideMark/>
          </w:tcPr>
          <w:p w14:paraId="043A0F1C"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426260A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3233C2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8.7</w:t>
            </w:r>
          </w:p>
        </w:tc>
        <w:tc>
          <w:tcPr>
            <w:tcW w:w="359" w:type="pct"/>
            <w:tcBorders>
              <w:top w:val="nil"/>
              <w:left w:val="nil"/>
              <w:bottom w:val="single" w:sz="4" w:space="0" w:color="000000"/>
              <w:right w:val="single" w:sz="4" w:space="0" w:color="000000"/>
            </w:tcBorders>
            <w:noWrap/>
            <w:vAlign w:val="bottom"/>
            <w:hideMark/>
          </w:tcPr>
          <w:p w14:paraId="09C6F784"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1122C8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21437CB5"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3513E5A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75EE0F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6DE9F3CB"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14</w:t>
            </w:r>
          </w:p>
        </w:tc>
      </w:tr>
      <w:tr w:rsidR="00552862" w:rsidRPr="00A279C8" w14:paraId="30CF19E8"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3B46A4C0" w14:textId="77777777" w:rsidR="00552862" w:rsidRPr="00A279C8" w:rsidRDefault="00552862" w:rsidP="00552862">
            <w:pPr>
              <w:rPr>
                <w:rFonts w:ascii="Arial" w:eastAsia="Times New Roman" w:hAnsi="Arial" w:cs="Arial"/>
                <w:sz w:val="20"/>
                <w:szCs w:val="20"/>
              </w:rPr>
            </w:pPr>
            <w:r>
              <w:rPr>
                <w:rFonts w:ascii="Arial" w:eastAsia="Times New Roman" w:hAnsi="Arial" w:cs="Arial"/>
                <w:sz w:val="20"/>
                <w:szCs w:val="20"/>
              </w:rPr>
              <w:t>USA</w:t>
            </w:r>
          </w:p>
        </w:tc>
        <w:tc>
          <w:tcPr>
            <w:tcW w:w="265" w:type="pct"/>
            <w:tcBorders>
              <w:top w:val="nil"/>
              <w:left w:val="nil"/>
              <w:bottom w:val="single" w:sz="4" w:space="0" w:color="000000"/>
              <w:right w:val="single" w:sz="4" w:space="0" w:color="000000"/>
            </w:tcBorders>
            <w:noWrap/>
            <w:vAlign w:val="bottom"/>
            <w:hideMark/>
          </w:tcPr>
          <w:p w14:paraId="202B2C5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3.9</w:t>
            </w:r>
          </w:p>
        </w:tc>
        <w:tc>
          <w:tcPr>
            <w:tcW w:w="265" w:type="pct"/>
            <w:tcBorders>
              <w:top w:val="nil"/>
              <w:left w:val="nil"/>
              <w:bottom w:val="single" w:sz="4" w:space="0" w:color="000000"/>
              <w:right w:val="single" w:sz="4" w:space="0" w:color="000000"/>
            </w:tcBorders>
            <w:noWrap/>
            <w:vAlign w:val="bottom"/>
            <w:hideMark/>
          </w:tcPr>
          <w:p w14:paraId="33502613"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24D16A0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5.4</w:t>
            </w:r>
          </w:p>
        </w:tc>
        <w:tc>
          <w:tcPr>
            <w:tcW w:w="265" w:type="pct"/>
            <w:tcBorders>
              <w:top w:val="nil"/>
              <w:left w:val="nil"/>
              <w:bottom w:val="single" w:sz="4" w:space="0" w:color="000000"/>
              <w:right w:val="single" w:sz="4" w:space="0" w:color="000000"/>
            </w:tcBorders>
            <w:noWrap/>
            <w:vAlign w:val="bottom"/>
            <w:hideMark/>
          </w:tcPr>
          <w:p w14:paraId="10DDD1E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6.9</w:t>
            </w:r>
          </w:p>
        </w:tc>
        <w:tc>
          <w:tcPr>
            <w:tcW w:w="265" w:type="pct"/>
            <w:tcBorders>
              <w:top w:val="nil"/>
              <w:left w:val="nil"/>
              <w:bottom w:val="single" w:sz="4" w:space="0" w:color="000000"/>
              <w:right w:val="single" w:sz="4" w:space="0" w:color="000000"/>
            </w:tcBorders>
            <w:noWrap/>
            <w:vAlign w:val="bottom"/>
            <w:hideMark/>
          </w:tcPr>
          <w:p w14:paraId="28C9932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265" w:type="pct"/>
            <w:tcBorders>
              <w:top w:val="nil"/>
              <w:left w:val="nil"/>
              <w:bottom w:val="single" w:sz="4" w:space="0" w:color="000000"/>
              <w:right w:val="single" w:sz="4" w:space="0" w:color="000000"/>
            </w:tcBorders>
            <w:noWrap/>
            <w:vAlign w:val="bottom"/>
            <w:hideMark/>
          </w:tcPr>
          <w:p w14:paraId="582041DF"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359" w:type="pct"/>
            <w:tcBorders>
              <w:top w:val="nil"/>
              <w:left w:val="nil"/>
              <w:bottom w:val="single" w:sz="4" w:space="0" w:color="000000"/>
              <w:right w:val="single" w:sz="4" w:space="0" w:color="000000"/>
            </w:tcBorders>
            <w:noWrap/>
            <w:vAlign w:val="bottom"/>
            <w:hideMark/>
          </w:tcPr>
          <w:p w14:paraId="688BF302"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5BF67C40"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1A098C01"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11.2</w:t>
            </w:r>
          </w:p>
        </w:tc>
        <w:tc>
          <w:tcPr>
            <w:tcW w:w="452" w:type="pct"/>
            <w:tcBorders>
              <w:top w:val="nil"/>
              <w:left w:val="nil"/>
              <w:bottom w:val="single" w:sz="4" w:space="0" w:color="000000"/>
              <w:right w:val="single" w:sz="4" w:space="0" w:color="000000"/>
            </w:tcBorders>
            <w:noWrap/>
            <w:vAlign w:val="bottom"/>
            <w:hideMark/>
          </w:tcPr>
          <w:p w14:paraId="7B4CB34A"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48870F2D"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c>
          <w:tcPr>
            <w:tcW w:w="452" w:type="pct"/>
            <w:tcBorders>
              <w:top w:val="nil"/>
              <w:left w:val="nil"/>
              <w:bottom w:val="single" w:sz="4" w:space="0" w:color="000000"/>
              <w:right w:val="single" w:sz="4" w:space="0" w:color="000000"/>
            </w:tcBorders>
            <w:noWrap/>
            <w:vAlign w:val="bottom"/>
            <w:hideMark/>
          </w:tcPr>
          <w:p w14:paraId="005DFD67" w14:textId="77777777" w:rsidR="00552862" w:rsidRPr="00A279C8" w:rsidRDefault="00552862" w:rsidP="00552862">
            <w:pPr>
              <w:jc w:val="center"/>
              <w:rPr>
                <w:rFonts w:ascii="Arial" w:eastAsia="Times New Roman" w:hAnsi="Arial" w:cs="Arial"/>
                <w:sz w:val="20"/>
                <w:szCs w:val="20"/>
              </w:rPr>
            </w:pPr>
            <w:r>
              <w:rPr>
                <w:rFonts w:ascii="Arial" w:eastAsia="Times New Roman" w:hAnsi="Arial" w:cs="Arial"/>
                <w:sz w:val="20"/>
                <w:szCs w:val="20"/>
              </w:rPr>
              <w:t>-</w:t>
            </w:r>
          </w:p>
        </w:tc>
      </w:tr>
      <w:tr w:rsidR="00552862" w:rsidRPr="00A279C8" w14:paraId="0855181A" w14:textId="77777777" w:rsidTr="00552862">
        <w:trPr>
          <w:trHeight w:val="300"/>
        </w:trPr>
        <w:tc>
          <w:tcPr>
            <w:tcW w:w="793" w:type="pct"/>
            <w:tcBorders>
              <w:top w:val="nil"/>
              <w:left w:val="single" w:sz="4" w:space="0" w:color="000000"/>
              <w:bottom w:val="single" w:sz="4" w:space="0" w:color="000000"/>
              <w:right w:val="single" w:sz="4" w:space="0" w:color="000000"/>
            </w:tcBorders>
            <w:noWrap/>
            <w:vAlign w:val="bottom"/>
            <w:hideMark/>
          </w:tcPr>
          <w:p w14:paraId="1421A9AF" w14:textId="77777777" w:rsidR="00552862" w:rsidRPr="00A279C8" w:rsidRDefault="00552862" w:rsidP="00552862">
            <w:pPr>
              <w:rPr>
                <w:rFonts w:ascii="Arial" w:eastAsia="Times New Roman" w:hAnsi="Arial" w:cs="Arial"/>
                <w:b/>
                <w:bCs/>
                <w:sz w:val="20"/>
                <w:szCs w:val="20"/>
              </w:rPr>
            </w:pPr>
            <w:r>
              <w:rPr>
                <w:rFonts w:ascii="Arial" w:eastAsia="Times New Roman" w:hAnsi="Arial" w:cs="Arial"/>
                <w:b/>
                <w:bCs/>
                <w:sz w:val="20"/>
                <w:szCs w:val="20"/>
              </w:rPr>
              <w:t>Count</w:t>
            </w:r>
          </w:p>
        </w:tc>
        <w:tc>
          <w:tcPr>
            <w:tcW w:w="265" w:type="pct"/>
            <w:tcBorders>
              <w:top w:val="nil"/>
              <w:left w:val="nil"/>
              <w:bottom w:val="single" w:sz="4" w:space="0" w:color="000000"/>
              <w:right w:val="single" w:sz="4" w:space="0" w:color="000000"/>
            </w:tcBorders>
            <w:noWrap/>
            <w:vAlign w:val="bottom"/>
            <w:hideMark/>
          </w:tcPr>
          <w:p w14:paraId="6A775C9D"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6</w:t>
            </w:r>
          </w:p>
        </w:tc>
        <w:tc>
          <w:tcPr>
            <w:tcW w:w="265" w:type="pct"/>
            <w:tcBorders>
              <w:top w:val="nil"/>
              <w:left w:val="nil"/>
              <w:bottom w:val="single" w:sz="4" w:space="0" w:color="000000"/>
              <w:right w:val="single" w:sz="4" w:space="0" w:color="000000"/>
            </w:tcBorders>
            <w:noWrap/>
            <w:vAlign w:val="bottom"/>
            <w:hideMark/>
          </w:tcPr>
          <w:p w14:paraId="0028DC2A"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5</w:t>
            </w:r>
          </w:p>
        </w:tc>
        <w:tc>
          <w:tcPr>
            <w:tcW w:w="265" w:type="pct"/>
            <w:tcBorders>
              <w:top w:val="nil"/>
              <w:left w:val="nil"/>
              <w:bottom w:val="single" w:sz="4" w:space="0" w:color="000000"/>
              <w:right w:val="single" w:sz="4" w:space="0" w:color="000000"/>
            </w:tcBorders>
            <w:noWrap/>
            <w:vAlign w:val="bottom"/>
            <w:hideMark/>
          </w:tcPr>
          <w:p w14:paraId="3A92E4AA"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14</w:t>
            </w:r>
          </w:p>
        </w:tc>
        <w:tc>
          <w:tcPr>
            <w:tcW w:w="265" w:type="pct"/>
            <w:tcBorders>
              <w:top w:val="nil"/>
              <w:left w:val="nil"/>
              <w:bottom w:val="single" w:sz="4" w:space="0" w:color="000000"/>
              <w:right w:val="single" w:sz="4" w:space="0" w:color="000000"/>
            </w:tcBorders>
            <w:noWrap/>
            <w:vAlign w:val="bottom"/>
            <w:hideMark/>
          </w:tcPr>
          <w:p w14:paraId="305B2A72"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5</w:t>
            </w:r>
          </w:p>
        </w:tc>
        <w:tc>
          <w:tcPr>
            <w:tcW w:w="265" w:type="pct"/>
            <w:tcBorders>
              <w:top w:val="nil"/>
              <w:left w:val="nil"/>
              <w:bottom w:val="single" w:sz="4" w:space="0" w:color="000000"/>
              <w:right w:val="single" w:sz="4" w:space="0" w:color="000000"/>
            </w:tcBorders>
            <w:noWrap/>
            <w:vAlign w:val="bottom"/>
            <w:hideMark/>
          </w:tcPr>
          <w:p w14:paraId="347833BA"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4</w:t>
            </w:r>
          </w:p>
        </w:tc>
        <w:tc>
          <w:tcPr>
            <w:tcW w:w="265" w:type="pct"/>
            <w:tcBorders>
              <w:top w:val="nil"/>
              <w:left w:val="nil"/>
              <w:bottom w:val="single" w:sz="4" w:space="0" w:color="000000"/>
              <w:right w:val="single" w:sz="4" w:space="0" w:color="000000"/>
            </w:tcBorders>
            <w:noWrap/>
            <w:vAlign w:val="bottom"/>
            <w:hideMark/>
          </w:tcPr>
          <w:p w14:paraId="02653805"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4</w:t>
            </w:r>
          </w:p>
        </w:tc>
        <w:tc>
          <w:tcPr>
            <w:tcW w:w="359" w:type="pct"/>
            <w:tcBorders>
              <w:top w:val="nil"/>
              <w:left w:val="nil"/>
              <w:bottom w:val="single" w:sz="4" w:space="0" w:color="000000"/>
              <w:right w:val="single" w:sz="4" w:space="0" w:color="000000"/>
            </w:tcBorders>
            <w:noWrap/>
            <w:vAlign w:val="bottom"/>
            <w:hideMark/>
          </w:tcPr>
          <w:p w14:paraId="0022DC4E"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18</w:t>
            </w:r>
          </w:p>
        </w:tc>
        <w:tc>
          <w:tcPr>
            <w:tcW w:w="452" w:type="pct"/>
            <w:tcBorders>
              <w:top w:val="nil"/>
              <w:left w:val="nil"/>
              <w:bottom w:val="single" w:sz="4" w:space="0" w:color="000000"/>
              <w:right w:val="single" w:sz="4" w:space="0" w:color="000000"/>
            </w:tcBorders>
            <w:noWrap/>
            <w:vAlign w:val="bottom"/>
            <w:hideMark/>
          </w:tcPr>
          <w:p w14:paraId="546A5090"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2</w:t>
            </w:r>
          </w:p>
        </w:tc>
        <w:tc>
          <w:tcPr>
            <w:tcW w:w="452" w:type="pct"/>
            <w:tcBorders>
              <w:top w:val="nil"/>
              <w:left w:val="nil"/>
              <w:bottom w:val="single" w:sz="4" w:space="0" w:color="000000"/>
              <w:right w:val="single" w:sz="4" w:space="0" w:color="000000"/>
            </w:tcBorders>
            <w:noWrap/>
            <w:vAlign w:val="bottom"/>
            <w:hideMark/>
          </w:tcPr>
          <w:p w14:paraId="0DA185F1"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3</w:t>
            </w:r>
          </w:p>
        </w:tc>
        <w:tc>
          <w:tcPr>
            <w:tcW w:w="452" w:type="pct"/>
            <w:tcBorders>
              <w:top w:val="nil"/>
              <w:left w:val="nil"/>
              <w:bottom w:val="single" w:sz="4" w:space="0" w:color="000000"/>
              <w:right w:val="single" w:sz="4" w:space="0" w:color="000000"/>
            </w:tcBorders>
            <w:noWrap/>
            <w:vAlign w:val="bottom"/>
            <w:hideMark/>
          </w:tcPr>
          <w:p w14:paraId="089C2BC5"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3</w:t>
            </w:r>
          </w:p>
        </w:tc>
        <w:tc>
          <w:tcPr>
            <w:tcW w:w="452" w:type="pct"/>
            <w:tcBorders>
              <w:top w:val="nil"/>
              <w:left w:val="nil"/>
              <w:bottom w:val="single" w:sz="4" w:space="0" w:color="000000"/>
              <w:right w:val="single" w:sz="4" w:space="0" w:color="000000"/>
            </w:tcBorders>
            <w:noWrap/>
            <w:vAlign w:val="bottom"/>
            <w:hideMark/>
          </w:tcPr>
          <w:p w14:paraId="6A47E766"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2</w:t>
            </w:r>
          </w:p>
        </w:tc>
        <w:tc>
          <w:tcPr>
            <w:tcW w:w="452" w:type="pct"/>
            <w:tcBorders>
              <w:top w:val="nil"/>
              <w:left w:val="nil"/>
              <w:bottom w:val="single" w:sz="4" w:space="0" w:color="000000"/>
              <w:right w:val="single" w:sz="4" w:space="0" w:color="000000"/>
            </w:tcBorders>
            <w:noWrap/>
            <w:vAlign w:val="bottom"/>
            <w:hideMark/>
          </w:tcPr>
          <w:p w14:paraId="63853527" w14:textId="77777777" w:rsidR="00552862" w:rsidRPr="00A279C8" w:rsidRDefault="00552862" w:rsidP="00552862">
            <w:pPr>
              <w:jc w:val="center"/>
              <w:rPr>
                <w:rFonts w:ascii="Arial" w:eastAsia="Times New Roman" w:hAnsi="Arial" w:cs="Arial"/>
                <w:b/>
                <w:bCs/>
                <w:sz w:val="20"/>
                <w:szCs w:val="20"/>
              </w:rPr>
            </w:pPr>
            <w:r>
              <w:rPr>
                <w:rFonts w:ascii="Arial" w:eastAsia="Times New Roman" w:hAnsi="Arial" w:cs="Arial"/>
                <w:b/>
                <w:bCs/>
                <w:sz w:val="20"/>
                <w:szCs w:val="20"/>
              </w:rPr>
              <w:t>5</w:t>
            </w:r>
          </w:p>
        </w:tc>
      </w:tr>
    </w:tbl>
    <w:p w14:paraId="7C65F5D2" w14:textId="2B997EF7" w:rsidR="004F61C6" w:rsidRDefault="004F61C6">
      <w:pPr>
        <w:spacing w:after="160"/>
        <w:jc w:val="both"/>
      </w:pPr>
    </w:p>
    <w:p w14:paraId="72557864" w14:textId="3D86CEC9" w:rsidR="00040449" w:rsidRPr="00BA5089" w:rsidRDefault="006832DE" w:rsidP="00040449">
      <w:pPr>
        <w:pStyle w:val="Normaalweb"/>
        <w:rPr>
          <w:rFonts w:ascii="Calibri" w:hAnsi="Calibri" w:cs="Calibri"/>
          <w:sz w:val="22"/>
          <w:szCs w:val="22"/>
        </w:rPr>
      </w:pPr>
      <w:r>
        <w:rPr>
          <w:rFonts w:ascii="Calibri" w:hAnsi="Calibri" w:cs="Calibri"/>
          <w:i/>
          <w:iCs/>
          <w:sz w:val="22"/>
          <w:szCs w:val="22"/>
        </w:rPr>
        <w:t xml:space="preserve">2.2.4.  The cycles of φ </w:t>
      </w:r>
    </w:p>
    <w:p w14:paraId="16E4F849" w14:textId="64F23650" w:rsidR="00040449" w:rsidRDefault="00040449" w:rsidP="009E3588">
      <w:pPr>
        <w:spacing w:after="160"/>
        <w:jc w:val="both"/>
      </w:pPr>
      <w:r w:rsidRPr="00EE62B6">
        <w:rPr>
          <w:lang w:val="en-US"/>
        </w:rPr>
        <w:t xml:space="preserve">If we accept that cycles with lengths that are multiples of </w:t>
      </w:r>
      <w:r>
        <w:t>φ</w:t>
      </w:r>
      <w:r w:rsidRPr="00EE62B6">
        <w:rPr>
          <w:lang w:val="en-US"/>
        </w:rPr>
        <w:t xml:space="preserve"> apart are likely to co-exist in an economy, an interesting pattern emerges. When we start with a cycle of 3, 5 or 8 years and multiply by </w:t>
      </w:r>
      <w:r>
        <w:t>φ</w:t>
      </w:r>
      <w:r w:rsidRPr="00EE62B6">
        <w:rPr>
          <w:lang w:val="en-US"/>
        </w:rPr>
        <w:t xml:space="preserve">, we obtain the series 5, 8, 13, 21, 34, 55, 89 (close to 90) and 144 (close to 145). The resulting series also matches the results of De Groot and Franses (2012). Based on a meta-analysis of 88 detected cycles, documented in 51 studies, these authors found cyclical lengths to be clustered around 8, 21, 32 and 55 years. We outline here some of the main connections with the literature on long waves. </w:t>
      </w:r>
      <w:proofErr w:type="spellStart"/>
      <w:r>
        <w:t>Table</w:t>
      </w:r>
      <w:proofErr w:type="spellEnd"/>
      <w:r>
        <w:t xml:space="preserve"> 3 </w:t>
      </w:r>
      <w:proofErr w:type="spellStart"/>
      <w:r>
        <w:t>provides</w:t>
      </w:r>
      <w:proofErr w:type="spellEnd"/>
      <w:r>
        <w:t xml:space="preserve"> </w:t>
      </w:r>
      <w:proofErr w:type="spellStart"/>
      <w:r>
        <w:t>an</w:t>
      </w:r>
      <w:proofErr w:type="spellEnd"/>
      <w:r>
        <w:t xml:space="preserve"> overview. </w:t>
      </w:r>
    </w:p>
    <w:p w14:paraId="61F0D96C" w14:textId="77777777" w:rsidR="00552862" w:rsidRDefault="00552862">
      <w:pPr>
        <w:rPr>
          <w:b/>
          <w:bCs/>
        </w:rPr>
      </w:pPr>
      <w:r>
        <w:rPr>
          <w:b/>
          <w:bCs/>
        </w:rPr>
        <w:br w:type="page"/>
      </w:r>
    </w:p>
    <w:p w14:paraId="71B57AE0" w14:textId="3064D1B3" w:rsidR="00552862" w:rsidRDefault="00552862" w:rsidP="00552862">
      <w:pPr>
        <w:spacing w:after="160"/>
        <w:jc w:val="both"/>
      </w:pPr>
      <w:r>
        <w:rPr>
          <w:b/>
          <w:bCs/>
        </w:rPr>
        <w:lastRenderedPageBreak/>
        <w:t>Table 3</w:t>
      </w:r>
      <w:r>
        <w:rPr>
          <w:b/>
          <w:bCs/>
        </w:rPr>
        <w:br/>
        <w:t>The cycles of φ.</w:t>
      </w:r>
      <w:r>
        <w:rPr>
          <w:b/>
          <w:bCs/>
        </w:rPr>
        <w:tab/>
      </w:r>
    </w:p>
    <w:tbl>
      <w:tblPr>
        <w:tblW w:w="4840" w:type="dxa"/>
        <w:tblLook w:val="04A0" w:firstRow="1" w:lastRow="0" w:firstColumn="1" w:lastColumn="0" w:noHBand="0" w:noVBand="1"/>
      </w:tblPr>
      <w:tblGrid>
        <w:gridCol w:w="1480"/>
        <w:gridCol w:w="3360"/>
      </w:tblGrid>
      <w:tr w:rsidR="00552862" w:rsidRPr="00552862" w14:paraId="74A1156E" w14:textId="77777777" w:rsidTr="00552862">
        <w:trPr>
          <w:trHeight w:val="300"/>
        </w:trPr>
        <w:tc>
          <w:tcPr>
            <w:tcW w:w="148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4F96C9" w14:textId="77777777" w:rsidR="00552862" w:rsidRPr="00552862" w:rsidRDefault="00552862" w:rsidP="00552862">
            <w:pPr>
              <w:rPr>
                <w:rFonts w:ascii="Arial" w:eastAsia="Times New Roman" w:hAnsi="Arial" w:cs="Arial"/>
                <w:b/>
                <w:bCs/>
              </w:rPr>
            </w:pPr>
            <w:r>
              <w:rPr>
                <w:rFonts w:ascii="Arial" w:eastAsia="Times New Roman" w:hAnsi="Arial" w:cs="Arial"/>
                <w:b/>
                <w:bCs/>
              </w:rPr>
              <w:t>Periodicity</w:t>
            </w:r>
          </w:p>
        </w:tc>
        <w:tc>
          <w:tcPr>
            <w:tcW w:w="3360" w:type="dxa"/>
            <w:tcBorders>
              <w:top w:val="single" w:sz="4" w:space="0" w:color="000000"/>
              <w:left w:val="nil"/>
              <w:bottom w:val="single" w:sz="4" w:space="0" w:color="000000"/>
              <w:right w:val="single" w:sz="4" w:space="0" w:color="000000"/>
            </w:tcBorders>
            <w:shd w:val="clear" w:color="D9D9D9" w:fill="D9D9D9"/>
            <w:noWrap/>
            <w:vAlign w:val="bottom"/>
            <w:hideMark/>
          </w:tcPr>
          <w:p w14:paraId="6D586ED7" w14:textId="77777777" w:rsidR="00552862" w:rsidRPr="00552862" w:rsidRDefault="00552862" w:rsidP="00552862">
            <w:pPr>
              <w:rPr>
                <w:rFonts w:ascii="Arial" w:eastAsia="Times New Roman" w:hAnsi="Arial" w:cs="Arial"/>
                <w:b/>
                <w:bCs/>
              </w:rPr>
            </w:pPr>
            <w:r>
              <w:rPr>
                <w:rFonts w:ascii="Arial" w:eastAsia="Times New Roman" w:hAnsi="Arial" w:cs="Arial"/>
                <w:b/>
                <w:bCs/>
              </w:rPr>
              <w:t>Name of the cycle</w:t>
            </w:r>
          </w:p>
        </w:tc>
      </w:tr>
      <w:tr w:rsidR="00552862" w:rsidRPr="00552862" w14:paraId="0FEF2197" w14:textId="77777777" w:rsidTr="00552862">
        <w:trPr>
          <w:trHeight w:val="300"/>
        </w:trPr>
        <w:tc>
          <w:tcPr>
            <w:tcW w:w="1480" w:type="dxa"/>
            <w:tcBorders>
              <w:top w:val="nil"/>
              <w:left w:val="single" w:sz="4" w:space="0" w:color="000000"/>
              <w:bottom w:val="single" w:sz="4" w:space="0" w:color="000000"/>
              <w:right w:val="single" w:sz="4" w:space="0" w:color="000000"/>
            </w:tcBorders>
            <w:noWrap/>
            <w:vAlign w:val="bottom"/>
            <w:hideMark/>
          </w:tcPr>
          <w:p w14:paraId="62C00961" w14:textId="77777777" w:rsidR="00552862" w:rsidRPr="00552862" w:rsidRDefault="00552862" w:rsidP="00552862">
            <w:pPr>
              <w:rPr>
                <w:rFonts w:ascii="Arial" w:eastAsia="Times New Roman" w:hAnsi="Arial" w:cs="Arial"/>
              </w:rPr>
            </w:pPr>
            <w:r>
              <w:rPr>
                <w:rFonts w:ascii="Arial" w:eastAsia="Times New Roman" w:hAnsi="Arial" w:cs="Arial"/>
              </w:rPr>
              <w:t>3 years</w:t>
            </w:r>
          </w:p>
        </w:tc>
        <w:tc>
          <w:tcPr>
            <w:tcW w:w="3360" w:type="dxa"/>
            <w:tcBorders>
              <w:top w:val="nil"/>
              <w:left w:val="nil"/>
              <w:bottom w:val="single" w:sz="4" w:space="0" w:color="000000"/>
              <w:right w:val="single" w:sz="4" w:space="0" w:color="000000"/>
            </w:tcBorders>
            <w:noWrap/>
            <w:vAlign w:val="bottom"/>
            <w:hideMark/>
          </w:tcPr>
          <w:p w14:paraId="7C34C825" w14:textId="10AC396A" w:rsidR="00552862" w:rsidRPr="00552862" w:rsidRDefault="00552862" w:rsidP="00552862">
            <w:pPr>
              <w:rPr>
                <w:rFonts w:ascii="Arial" w:eastAsia="Times New Roman" w:hAnsi="Arial" w:cs="Arial"/>
              </w:rPr>
            </w:pPr>
            <w:r>
              <w:rPr>
                <w:rFonts w:ascii="Arial" w:eastAsia="Times New Roman" w:hAnsi="Arial" w:cs="Arial"/>
              </w:rPr>
              <w:t>Kitchin</w:t>
            </w:r>
          </w:p>
        </w:tc>
      </w:tr>
      <w:tr w:rsidR="00552862" w:rsidRPr="00552862" w14:paraId="14E678BE" w14:textId="77777777" w:rsidTr="00552862">
        <w:trPr>
          <w:trHeight w:val="300"/>
        </w:trPr>
        <w:tc>
          <w:tcPr>
            <w:tcW w:w="1480" w:type="dxa"/>
            <w:tcBorders>
              <w:top w:val="nil"/>
              <w:left w:val="single" w:sz="4" w:space="0" w:color="000000"/>
              <w:bottom w:val="single" w:sz="4" w:space="0" w:color="000000"/>
              <w:right w:val="single" w:sz="4" w:space="0" w:color="000000"/>
            </w:tcBorders>
            <w:noWrap/>
            <w:vAlign w:val="bottom"/>
            <w:hideMark/>
          </w:tcPr>
          <w:p w14:paraId="63E851EE" w14:textId="77777777" w:rsidR="00552862" w:rsidRPr="00552862" w:rsidRDefault="00552862" w:rsidP="00552862">
            <w:pPr>
              <w:rPr>
                <w:rFonts w:ascii="Arial" w:eastAsia="Times New Roman" w:hAnsi="Arial" w:cs="Arial"/>
              </w:rPr>
            </w:pPr>
            <w:r>
              <w:rPr>
                <w:rFonts w:ascii="Arial" w:eastAsia="Times New Roman" w:hAnsi="Arial" w:cs="Arial"/>
              </w:rPr>
              <w:t>5 years</w:t>
            </w:r>
          </w:p>
        </w:tc>
        <w:tc>
          <w:tcPr>
            <w:tcW w:w="3360" w:type="dxa"/>
            <w:tcBorders>
              <w:top w:val="nil"/>
              <w:left w:val="nil"/>
              <w:bottom w:val="single" w:sz="4" w:space="0" w:color="000000"/>
              <w:right w:val="single" w:sz="4" w:space="0" w:color="000000"/>
            </w:tcBorders>
            <w:noWrap/>
            <w:vAlign w:val="bottom"/>
            <w:hideMark/>
          </w:tcPr>
          <w:p w14:paraId="629BFA84" w14:textId="35DB85E9" w:rsidR="00552862" w:rsidRPr="00552862" w:rsidRDefault="004657F7" w:rsidP="00552862">
            <w:pPr>
              <w:rPr>
                <w:rFonts w:ascii="Arial" w:eastAsia="Times New Roman" w:hAnsi="Arial" w:cs="Arial"/>
              </w:rPr>
            </w:pPr>
            <w:r>
              <w:rPr>
                <w:rFonts w:ascii="Arial" w:eastAsia="Times New Roman" w:hAnsi="Arial" w:cs="Arial"/>
              </w:rPr>
              <w:t>Business</w:t>
            </w:r>
          </w:p>
        </w:tc>
      </w:tr>
      <w:tr w:rsidR="00552862" w:rsidRPr="00552862" w14:paraId="1721C3F3" w14:textId="77777777" w:rsidTr="00552862">
        <w:trPr>
          <w:trHeight w:val="300"/>
        </w:trPr>
        <w:tc>
          <w:tcPr>
            <w:tcW w:w="1480" w:type="dxa"/>
            <w:tcBorders>
              <w:top w:val="nil"/>
              <w:left w:val="single" w:sz="4" w:space="0" w:color="000000"/>
              <w:bottom w:val="single" w:sz="4" w:space="0" w:color="000000"/>
              <w:right w:val="single" w:sz="4" w:space="0" w:color="000000"/>
            </w:tcBorders>
            <w:noWrap/>
            <w:vAlign w:val="bottom"/>
            <w:hideMark/>
          </w:tcPr>
          <w:p w14:paraId="68B2BBE1" w14:textId="77777777" w:rsidR="00552862" w:rsidRPr="00552862" w:rsidRDefault="00552862" w:rsidP="00552862">
            <w:pPr>
              <w:rPr>
                <w:rFonts w:ascii="Arial" w:eastAsia="Times New Roman" w:hAnsi="Arial" w:cs="Arial"/>
              </w:rPr>
            </w:pPr>
            <w:r>
              <w:rPr>
                <w:rFonts w:ascii="Arial" w:eastAsia="Times New Roman" w:hAnsi="Arial" w:cs="Arial"/>
              </w:rPr>
              <w:t>8 years</w:t>
            </w:r>
          </w:p>
        </w:tc>
        <w:tc>
          <w:tcPr>
            <w:tcW w:w="3360" w:type="dxa"/>
            <w:tcBorders>
              <w:top w:val="nil"/>
              <w:left w:val="nil"/>
              <w:bottom w:val="single" w:sz="4" w:space="0" w:color="000000"/>
              <w:right w:val="single" w:sz="4" w:space="0" w:color="000000"/>
            </w:tcBorders>
            <w:noWrap/>
            <w:vAlign w:val="bottom"/>
            <w:hideMark/>
          </w:tcPr>
          <w:p w14:paraId="2BDEA30C" w14:textId="1B239481" w:rsidR="00552862" w:rsidRPr="00552862" w:rsidRDefault="00552862" w:rsidP="00552862">
            <w:pPr>
              <w:rPr>
                <w:rFonts w:ascii="Arial" w:eastAsia="Times New Roman" w:hAnsi="Arial" w:cs="Arial"/>
              </w:rPr>
            </w:pPr>
            <w:r>
              <w:rPr>
                <w:rFonts w:ascii="Arial" w:eastAsia="Times New Roman" w:hAnsi="Arial" w:cs="Arial"/>
              </w:rPr>
              <w:t>Juglar</w:t>
            </w:r>
          </w:p>
        </w:tc>
      </w:tr>
      <w:tr w:rsidR="00552862" w:rsidRPr="00552862" w14:paraId="1C39D144" w14:textId="77777777" w:rsidTr="00552862">
        <w:trPr>
          <w:trHeight w:val="300"/>
        </w:trPr>
        <w:tc>
          <w:tcPr>
            <w:tcW w:w="1480" w:type="dxa"/>
            <w:tcBorders>
              <w:top w:val="nil"/>
              <w:left w:val="single" w:sz="4" w:space="0" w:color="000000"/>
              <w:bottom w:val="single" w:sz="4" w:space="0" w:color="000000"/>
              <w:right w:val="single" w:sz="4" w:space="0" w:color="000000"/>
            </w:tcBorders>
            <w:noWrap/>
            <w:vAlign w:val="bottom"/>
            <w:hideMark/>
          </w:tcPr>
          <w:p w14:paraId="05670AC9" w14:textId="77777777" w:rsidR="00552862" w:rsidRPr="00552862" w:rsidRDefault="00552862" w:rsidP="00552862">
            <w:pPr>
              <w:rPr>
                <w:rFonts w:ascii="Arial" w:eastAsia="Times New Roman" w:hAnsi="Arial" w:cs="Arial"/>
              </w:rPr>
            </w:pPr>
            <w:r>
              <w:rPr>
                <w:rFonts w:ascii="Arial" w:eastAsia="Times New Roman" w:hAnsi="Arial" w:cs="Arial"/>
              </w:rPr>
              <w:t>13 years</w:t>
            </w:r>
          </w:p>
        </w:tc>
        <w:tc>
          <w:tcPr>
            <w:tcW w:w="3360" w:type="dxa"/>
            <w:tcBorders>
              <w:top w:val="nil"/>
              <w:left w:val="nil"/>
              <w:bottom w:val="single" w:sz="4" w:space="0" w:color="000000"/>
              <w:right w:val="single" w:sz="4" w:space="0" w:color="000000"/>
            </w:tcBorders>
            <w:noWrap/>
            <w:vAlign w:val="bottom"/>
            <w:hideMark/>
          </w:tcPr>
          <w:p w14:paraId="5D157BC3" w14:textId="6587F37B" w:rsidR="00552862" w:rsidRPr="00552862" w:rsidRDefault="00552862" w:rsidP="00552862">
            <w:pPr>
              <w:rPr>
                <w:rFonts w:ascii="Arial" w:eastAsia="Times New Roman" w:hAnsi="Arial" w:cs="Arial"/>
              </w:rPr>
            </w:pPr>
            <w:r>
              <w:rPr>
                <w:rFonts w:ascii="Arial" w:eastAsia="Times New Roman" w:hAnsi="Arial" w:cs="Arial"/>
              </w:rPr>
              <w:t>Bootstrap</w:t>
            </w:r>
          </w:p>
        </w:tc>
      </w:tr>
      <w:tr w:rsidR="00552862" w:rsidRPr="00552862" w14:paraId="7B091E3F" w14:textId="77777777" w:rsidTr="00552862">
        <w:trPr>
          <w:trHeight w:val="300"/>
        </w:trPr>
        <w:tc>
          <w:tcPr>
            <w:tcW w:w="1480" w:type="dxa"/>
            <w:tcBorders>
              <w:top w:val="nil"/>
              <w:left w:val="single" w:sz="4" w:space="0" w:color="000000"/>
              <w:bottom w:val="single" w:sz="4" w:space="0" w:color="000000"/>
              <w:right w:val="single" w:sz="4" w:space="0" w:color="000000"/>
            </w:tcBorders>
            <w:noWrap/>
            <w:vAlign w:val="bottom"/>
            <w:hideMark/>
          </w:tcPr>
          <w:p w14:paraId="711DE6FB" w14:textId="77777777" w:rsidR="00552862" w:rsidRPr="00552862" w:rsidRDefault="00552862" w:rsidP="00552862">
            <w:pPr>
              <w:rPr>
                <w:rFonts w:ascii="Arial" w:eastAsia="Times New Roman" w:hAnsi="Arial" w:cs="Arial"/>
              </w:rPr>
            </w:pPr>
            <w:r>
              <w:rPr>
                <w:rFonts w:ascii="Arial" w:eastAsia="Times New Roman" w:hAnsi="Arial" w:cs="Arial"/>
              </w:rPr>
              <w:t>21 years</w:t>
            </w:r>
          </w:p>
        </w:tc>
        <w:tc>
          <w:tcPr>
            <w:tcW w:w="3360" w:type="dxa"/>
            <w:tcBorders>
              <w:top w:val="nil"/>
              <w:left w:val="nil"/>
              <w:bottom w:val="single" w:sz="4" w:space="0" w:color="000000"/>
              <w:right w:val="single" w:sz="4" w:space="0" w:color="000000"/>
            </w:tcBorders>
            <w:noWrap/>
            <w:vAlign w:val="bottom"/>
            <w:hideMark/>
          </w:tcPr>
          <w:p w14:paraId="23331DC0" w14:textId="1FECAAEB" w:rsidR="00552862" w:rsidRPr="00552862" w:rsidRDefault="00552862" w:rsidP="00552862">
            <w:pPr>
              <w:rPr>
                <w:rFonts w:ascii="Arial" w:eastAsia="Times New Roman" w:hAnsi="Arial" w:cs="Arial"/>
              </w:rPr>
            </w:pPr>
            <w:r>
              <w:rPr>
                <w:rFonts w:ascii="Arial" w:eastAsia="Times New Roman" w:hAnsi="Arial" w:cs="Arial"/>
              </w:rPr>
              <w:t>Kuznets</w:t>
            </w:r>
          </w:p>
        </w:tc>
      </w:tr>
      <w:tr w:rsidR="00552862" w:rsidRPr="00552862" w14:paraId="2662C292" w14:textId="77777777" w:rsidTr="00552862">
        <w:trPr>
          <w:trHeight w:val="300"/>
        </w:trPr>
        <w:tc>
          <w:tcPr>
            <w:tcW w:w="1480" w:type="dxa"/>
            <w:tcBorders>
              <w:top w:val="nil"/>
              <w:left w:val="single" w:sz="4" w:space="0" w:color="000000"/>
              <w:bottom w:val="single" w:sz="4" w:space="0" w:color="000000"/>
              <w:right w:val="single" w:sz="4" w:space="0" w:color="000000"/>
            </w:tcBorders>
            <w:noWrap/>
            <w:vAlign w:val="bottom"/>
            <w:hideMark/>
          </w:tcPr>
          <w:p w14:paraId="27DA4C60" w14:textId="77777777" w:rsidR="00552862" w:rsidRPr="00552862" w:rsidRDefault="00552862" w:rsidP="00552862">
            <w:pPr>
              <w:rPr>
                <w:rFonts w:ascii="Arial" w:eastAsia="Times New Roman" w:hAnsi="Arial" w:cs="Arial"/>
              </w:rPr>
            </w:pPr>
            <w:r>
              <w:rPr>
                <w:rFonts w:ascii="Arial" w:eastAsia="Times New Roman" w:hAnsi="Arial" w:cs="Arial"/>
              </w:rPr>
              <w:t>34 years</w:t>
            </w:r>
          </w:p>
        </w:tc>
        <w:tc>
          <w:tcPr>
            <w:tcW w:w="3360" w:type="dxa"/>
            <w:tcBorders>
              <w:top w:val="nil"/>
              <w:left w:val="nil"/>
              <w:bottom w:val="single" w:sz="4" w:space="0" w:color="000000"/>
              <w:right w:val="single" w:sz="4" w:space="0" w:color="000000"/>
            </w:tcBorders>
            <w:noWrap/>
            <w:vAlign w:val="bottom"/>
            <w:hideMark/>
          </w:tcPr>
          <w:p w14:paraId="7CB0D184" w14:textId="16C46193" w:rsidR="00552862" w:rsidRPr="00552862" w:rsidRDefault="00552862" w:rsidP="00552862">
            <w:pPr>
              <w:rPr>
                <w:rFonts w:ascii="Arial" w:eastAsia="Times New Roman" w:hAnsi="Arial" w:cs="Arial"/>
              </w:rPr>
            </w:pPr>
            <w:r>
              <w:rPr>
                <w:rFonts w:ascii="Arial" w:eastAsia="Times New Roman" w:hAnsi="Arial" w:cs="Arial"/>
              </w:rPr>
              <w:t>Societal</w:t>
            </w:r>
          </w:p>
        </w:tc>
      </w:tr>
      <w:tr w:rsidR="00552862" w:rsidRPr="00552862" w14:paraId="0E82ED76" w14:textId="77777777" w:rsidTr="00552862">
        <w:trPr>
          <w:trHeight w:val="300"/>
        </w:trPr>
        <w:tc>
          <w:tcPr>
            <w:tcW w:w="1480" w:type="dxa"/>
            <w:tcBorders>
              <w:top w:val="nil"/>
              <w:left w:val="single" w:sz="4" w:space="0" w:color="000000"/>
              <w:bottom w:val="single" w:sz="4" w:space="0" w:color="000000"/>
              <w:right w:val="single" w:sz="4" w:space="0" w:color="000000"/>
            </w:tcBorders>
            <w:noWrap/>
            <w:vAlign w:val="bottom"/>
            <w:hideMark/>
          </w:tcPr>
          <w:p w14:paraId="35CF1A34" w14:textId="77777777" w:rsidR="00552862" w:rsidRPr="00552862" w:rsidRDefault="00552862" w:rsidP="00552862">
            <w:pPr>
              <w:rPr>
                <w:rFonts w:ascii="Arial" w:eastAsia="Times New Roman" w:hAnsi="Arial" w:cs="Arial"/>
              </w:rPr>
            </w:pPr>
            <w:r>
              <w:rPr>
                <w:rFonts w:ascii="Arial" w:eastAsia="Times New Roman" w:hAnsi="Arial" w:cs="Arial"/>
              </w:rPr>
              <w:t>55 years</w:t>
            </w:r>
          </w:p>
        </w:tc>
        <w:tc>
          <w:tcPr>
            <w:tcW w:w="3360" w:type="dxa"/>
            <w:tcBorders>
              <w:top w:val="nil"/>
              <w:left w:val="nil"/>
              <w:bottom w:val="single" w:sz="4" w:space="0" w:color="000000"/>
              <w:right w:val="single" w:sz="4" w:space="0" w:color="000000"/>
            </w:tcBorders>
            <w:noWrap/>
            <w:vAlign w:val="bottom"/>
            <w:hideMark/>
          </w:tcPr>
          <w:p w14:paraId="652D1B73" w14:textId="29827970" w:rsidR="00552862" w:rsidRPr="00552862" w:rsidRDefault="00552862" w:rsidP="00552862">
            <w:pPr>
              <w:rPr>
                <w:rFonts w:ascii="Arial" w:eastAsia="Times New Roman" w:hAnsi="Arial" w:cs="Arial"/>
              </w:rPr>
            </w:pPr>
            <w:r>
              <w:rPr>
                <w:rFonts w:ascii="Arial" w:eastAsia="Times New Roman" w:hAnsi="Arial" w:cs="Arial"/>
              </w:rPr>
              <w:t>Kondratieff</w:t>
            </w:r>
          </w:p>
        </w:tc>
      </w:tr>
      <w:tr w:rsidR="00552862" w:rsidRPr="00552862" w14:paraId="3CBE1A9D" w14:textId="77777777" w:rsidTr="00552862">
        <w:trPr>
          <w:trHeight w:val="300"/>
        </w:trPr>
        <w:tc>
          <w:tcPr>
            <w:tcW w:w="1480" w:type="dxa"/>
            <w:tcBorders>
              <w:top w:val="nil"/>
              <w:left w:val="single" w:sz="4" w:space="0" w:color="000000"/>
              <w:bottom w:val="single" w:sz="4" w:space="0" w:color="000000"/>
              <w:right w:val="single" w:sz="4" w:space="0" w:color="000000"/>
            </w:tcBorders>
            <w:noWrap/>
            <w:vAlign w:val="bottom"/>
            <w:hideMark/>
          </w:tcPr>
          <w:p w14:paraId="4FDC83CF" w14:textId="77777777" w:rsidR="00552862" w:rsidRPr="00552862" w:rsidRDefault="00552862" w:rsidP="00552862">
            <w:pPr>
              <w:rPr>
                <w:rFonts w:ascii="Arial" w:eastAsia="Times New Roman" w:hAnsi="Arial" w:cs="Arial"/>
              </w:rPr>
            </w:pPr>
            <w:r>
              <w:rPr>
                <w:rFonts w:ascii="Arial" w:eastAsia="Times New Roman" w:hAnsi="Arial" w:cs="Arial"/>
              </w:rPr>
              <w:t>90 years</w:t>
            </w:r>
          </w:p>
        </w:tc>
        <w:tc>
          <w:tcPr>
            <w:tcW w:w="3360" w:type="dxa"/>
            <w:tcBorders>
              <w:top w:val="nil"/>
              <w:left w:val="nil"/>
              <w:bottom w:val="single" w:sz="4" w:space="0" w:color="000000"/>
              <w:right w:val="single" w:sz="4" w:space="0" w:color="000000"/>
            </w:tcBorders>
            <w:noWrap/>
            <w:vAlign w:val="bottom"/>
            <w:hideMark/>
          </w:tcPr>
          <w:p w14:paraId="59B98207" w14:textId="11C7C113" w:rsidR="00552862" w:rsidRPr="00552862" w:rsidRDefault="00552862" w:rsidP="00552862">
            <w:pPr>
              <w:rPr>
                <w:rFonts w:ascii="Arial" w:eastAsia="Times New Roman" w:hAnsi="Arial" w:cs="Arial"/>
              </w:rPr>
            </w:pPr>
            <w:r>
              <w:rPr>
                <w:rFonts w:ascii="Arial" w:eastAsia="Times New Roman" w:hAnsi="Arial" w:cs="Arial"/>
              </w:rPr>
              <w:t>Four-generation cohort</w:t>
            </w:r>
          </w:p>
        </w:tc>
      </w:tr>
      <w:tr w:rsidR="00552862" w:rsidRPr="00552862" w14:paraId="5A024DE6" w14:textId="77777777" w:rsidTr="00552862">
        <w:trPr>
          <w:trHeight w:val="300"/>
        </w:trPr>
        <w:tc>
          <w:tcPr>
            <w:tcW w:w="1480" w:type="dxa"/>
            <w:tcBorders>
              <w:top w:val="nil"/>
              <w:left w:val="single" w:sz="4" w:space="0" w:color="000000"/>
              <w:bottom w:val="single" w:sz="4" w:space="0" w:color="000000"/>
              <w:right w:val="single" w:sz="4" w:space="0" w:color="000000"/>
            </w:tcBorders>
            <w:noWrap/>
            <w:vAlign w:val="bottom"/>
            <w:hideMark/>
          </w:tcPr>
          <w:p w14:paraId="640FCB3B" w14:textId="77777777" w:rsidR="00552862" w:rsidRPr="00552862" w:rsidRDefault="00552862" w:rsidP="00552862">
            <w:pPr>
              <w:rPr>
                <w:rFonts w:ascii="Arial" w:eastAsia="Times New Roman" w:hAnsi="Arial" w:cs="Arial"/>
              </w:rPr>
            </w:pPr>
            <w:r>
              <w:rPr>
                <w:rFonts w:ascii="Arial" w:eastAsia="Times New Roman" w:hAnsi="Arial" w:cs="Arial"/>
              </w:rPr>
              <w:t>145 years</w:t>
            </w:r>
          </w:p>
        </w:tc>
        <w:tc>
          <w:tcPr>
            <w:tcW w:w="3360" w:type="dxa"/>
            <w:tcBorders>
              <w:top w:val="nil"/>
              <w:left w:val="nil"/>
              <w:bottom w:val="single" w:sz="4" w:space="0" w:color="000000"/>
              <w:right w:val="single" w:sz="4" w:space="0" w:color="000000"/>
            </w:tcBorders>
            <w:noWrap/>
            <w:vAlign w:val="bottom"/>
            <w:hideMark/>
          </w:tcPr>
          <w:p w14:paraId="4CF47A3D" w14:textId="5371EBD5" w:rsidR="00552862" w:rsidRPr="00552862" w:rsidRDefault="00552862" w:rsidP="00552862">
            <w:pPr>
              <w:rPr>
                <w:rFonts w:ascii="Arial" w:eastAsia="Times New Roman" w:hAnsi="Arial" w:cs="Arial"/>
              </w:rPr>
            </w:pPr>
            <w:r>
              <w:rPr>
                <w:rFonts w:ascii="Arial" w:eastAsia="Times New Roman" w:hAnsi="Arial" w:cs="Arial"/>
              </w:rPr>
              <w:t>War and Hegemony</w:t>
            </w:r>
          </w:p>
        </w:tc>
      </w:tr>
    </w:tbl>
    <w:p w14:paraId="13ACA856" w14:textId="57C2C710" w:rsidR="004657F7" w:rsidRPr="00EE62B6" w:rsidRDefault="00F2226C" w:rsidP="00040449">
      <w:pPr>
        <w:pStyle w:val="Normaalweb"/>
        <w:rPr>
          <w:rFonts w:ascii="Calibri" w:hAnsi="Calibri" w:cs="Calibri"/>
          <w:color w:val="000000" w:themeColor="text1"/>
          <w:sz w:val="22"/>
          <w:szCs w:val="22"/>
          <w:lang w:val="en-US"/>
        </w:rPr>
      </w:pPr>
      <w:r w:rsidRPr="00EE62B6">
        <w:rPr>
          <w:rFonts w:ascii="Calibri" w:hAnsi="Calibri" w:cs="Calibri"/>
          <w:color w:val="000000" w:themeColor="text1"/>
          <w:sz w:val="22"/>
          <w:szCs w:val="22"/>
          <w:lang w:val="en-US"/>
        </w:rPr>
        <w:t>A cyclical length of 3 years is close to the well-known Kitchin cycle (Kitchin, 1923). The 5-year cycle is the business cycle, and Juglar (1862) found the credit and monetary cycle.</w:t>
      </w:r>
    </w:p>
    <w:p w14:paraId="6915B40D" w14:textId="7CBBBAE2" w:rsidR="00040449" w:rsidRPr="00EE62B6" w:rsidRDefault="00040449" w:rsidP="00040449">
      <w:pPr>
        <w:pStyle w:val="Normaalweb"/>
        <w:rPr>
          <w:rFonts w:ascii="Calibri" w:hAnsi="Calibri" w:cs="Calibri"/>
          <w:color w:val="000000" w:themeColor="text1"/>
          <w:sz w:val="22"/>
          <w:szCs w:val="22"/>
          <w:lang w:val="en-US"/>
        </w:rPr>
      </w:pPr>
      <w:r w:rsidRPr="00EE62B6">
        <w:rPr>
          <w:rFonts w:ascii="Calibri" w:hAnsi="Calibri" w:cs="Calibri"/>
          <w:color w:val="000000" w:themeColor="text1"/>
          <w:sz w:val="22"/>
          <w:szCs w:val="22"/>
          <w:lang w:val="en-US"/>
        </w:rPr>
        <w:t>The 13-year cycle is attributed to the bootstrap phenomenon, as described by Forrester (1977) and Haustein and Neuwirth (1982). The bootstrap phenomenon arises when a sector uses part of its own output as a production factor. The signal to increase the supply of the production factor leads to operations that result in a reduction of supply. The 13-year cycle was also detected in industrial production (Kuczynski, 1978).</w:t>
      </w:r>
    </w:p>
    <w:p w14:paraId="00A94505" w14:textId="132C164D" w:rsidR="00040449" w:rsidRPr="00EE62B6" w:rsidRDefault="00040449" w:rsidP="00040449">
      <w:pPr>
        <w:pStyle w:val="Normaalweb"/>
        <w:rPr>
          <w:rFonts w:ascii="Calibri" w:hAnsi="Calibri" w:cs="Calibri"/>
          <w:color w:val="000000" w:themeColor="text1"/>
          <w:sz w:val="22"/>
          <w:szCs w:val="22"/>
          <w:lang w:val="en-US"/>
        </w:rPr>
      </w:pPr>
      <w:r w:rsidRPr="00EE62B6">
        <w:rPr>
          <w:rFonts w:ascii="Calibri" w:hAnsi="Calibri" w:cs="Calibri"/>
          <w:color w:val="000000" w:themeColor="text1"/>
          <w:sz w:val="22"/>
          <w:szCs w:val="22"/>
          <w:lang w:val="en-US"/>
        </w:rPr>
        <w:t xml:space="preserve">Cycles with a length of approximately 21 years were documented by de Wolff (1924), Kuznets (1930) and Kuczynski (1978). These cycles are attributed to investment in construction. These cycles initially occurred because of large-scale immigration to the US between 1870 and 1920. The 21-year cycle has also been documented by Abramovitz (1959) and </w:t>
      </w:r>
      <w:proofErr w:type="spellStart"/>
      <w:r w:rsidRPr="00EE62B6">
        <w:rPr>
          <w:rFonts w:ascii="Calibri" w:hAnsi="Calibri" w:cs="Calibri"/>
          <w:color w:val="000000" w:themeColor="text1"/>
          <w:sz w:val="22"/>
          <w:szCs w:val="22"/>
          <w:lang w:val="en-US"/>
        </w:rPr>
        <w:t>Solomou</w:t>
      </w:r>
      <w:proofErr w:type="spellEnd"/>
      <w:r w:rsidRPr="00EE62B6">
        <w:rPr>
          <w:rFonts w:ascii="Calibri" w:hAnsi="Calibri" w:cs="Calibri"/>
          <w:color w:val="000000" w:themeColor="text1"/>
          <w:sz w:val="22"/>
          <w:szCs w:val="22"/>
          <w:lang w:val="en-US"/>
        </w:rPr>
        <w:t xml:space="preserve"> (1998) in GDP, and by Haustein and Neuwirth (1982) and Kuczynski (1978) in innovations.</w:t>
      </w:r>
    </w:p>
    <w:p w14:paraId="78C992AD" w14:textId="5C67C79C" w:rsidR="00040449" w:rsidRPr="00EE62B6" w:rsidRDefault="00040449" w:rsidP="00040449">
      <w:pPr>
        <w:pStyle w:val="Normaalweb"/>
        <w:rPr>
          <w:rFonts w:ascii="Calibri" w:hAnsi="Calibri" w:cs="Calibri"/>
          <w:color w:val="000000" w:themeColor="text1"/>
          <w:sz w:val="22"/>
          <w:szCs w:val="22"/>
          <w:lang w:val="en-US"/>
        </w:rPr>
      </w:pPr>
      <w:r w:rsidRPr="00EE62B6">
        <w:rPr>
          <w:rFonts w:ascii="Calibri" w:hAnsi="Calibri" w:cs="Calibri"/>
          <w:color w:val="000000" w:themeColor="text1"/>
          <w:sz w:val="22"/>
          <w:szCs w:val="22"/>
          <w:lang w:val="en-US"/>
        </w:rPr>
        <w:t>The 34-year cycle is attributed to regularities in human behavior (</w:t>
      </w:r>
      <w:proofErr w:type="spellStart"/>
      <w:r w:rsidRPr="00EE62B6">
        <w:rPr>
          <w:rFonts w:ascii="Calibri" w:hAnsi="Calibri" w:cs="Calibri"/>
          <w:color w:val="000000" w:themeColor="text1"/>
          <w:sz w:val="22"/>
          <w:szCs w:val="22"/>
          <w:lang w:val="en-US"/>
        </w:rPr>
        <w:t>Devezas</w:t>
      </w:r>
      <w:proofErr w:type="spellEnd"/>
      <w:r w:rsidRPr="00EE62B6">
        <w:rPr>
          <w:rFonts w:ascii="Calibri" w:hAnsi="Calibri" w:cs="Calibri"/>
          <w:color w:val="000000" w:themeColor="text1"/>
          <w:sz w:val="22"/>
          <w:szCs w:val="22"/>
          <w:lang w:val="en-US"/>
        </w:rPr>
        <w:t xml:space="preserve"> and </w:t>
      </w:r>
      <w:proofErr w:type="spellStart"/>
      <w:r w:rsidRPr="00EE62B6">
        <w:rPr>
          <w:rFonts w:ascii="Calibri" w:hAnsi="Calibri" w:cs="Calibri"/>
          <w:color w:val="000000" w:themeColor="text1"/>
          <w:sz w:val="22"/>
          <w:szCs w:val="22"/>
          <w:lang w:val="en-US"/>
        </w:rPr>
        <w:t>Corredine</w:t>
      </w:r>
      <w:proofErr w:type="spellEnd"/>
      <w:r w:rsidRPr="00EE62B6">
        <w:rPr>
          <w:rFonts w:ascii="Calibri" w:hAnsi="Calibri" w:cs="Calibri"/>
          <w:color w:val="000000" w:themeColor="text1"/>
          <w:sz w:val="22"/>
          <w:szCs w:val="22"/>
          <w:lang w:val="en-US"/>
        </w:rPr>
        <w:t xml:space="preserve">, 2001; 2002). This is further described as “the cyclicality of social phenomena is embedded in the human biological structure” (De Groot and Franses, 2012, p. 62). The 34-year cycle is also reported in </w:t>
      </w:r>
      <w:proofErr w:type="spellStart"/>
      <w:r w:rsidRPr="00EE62B6">
        <w:rPr>
          <w:rFonts w:ascii="Calibri" w:hAnsi="Calibri" w:cs="Calibri"/>
          <w:color w:val="000000" w:themeColor="text1"/>
          <w:sz w:val="22"/>
          <w:szCs w:val="22"/>
          <w:lang w:val="en-US"/>
        </w:rPr>
        <w:t>Löosch</w:t>
      </w:r>
      <w:proofErr w:type="spellEnd"/>
      <w:r w:rsidRPr="00EE62B6">
        <w:rPr>
          <w:rFonts w:ascii="Calibri" w:hAnsi="Calibri" w:cs="Calibri"/>
          <w:color w:val="000000" w:themeColor="text1"/>
          <w:sz w:val="22"/>
          <w:szCs w:val="22"/>
          <w:lang w:val="en-US"/>
        </w:rPr>
        <w:t xml:space="preserve"> (1937), Haustein and Neuwirth (1982), Thio (1991) and Dent (1999).</w:t>
      </w:r>
    </w:p>
    <w:p w14:paraId="680CEA16" w14:textId="265ABB77" w:rsidR="00040449" w:rsidRPr="008D4214" w:rsidRDefault="00040449" w:rsidP="00040449">
      <w:pPr>
        <w:pStyle w:val="Normaalweb"/>
        <w:rPr>
          <w:rFonts w:ascii="Calibri" w:hAnsi="Calibri" w:cs="Calibri"/>
          <w:color w:val="000000" w:themeColor="text1"/>
          <w:sz w:val="22"/>
          <w:szCs w:val="22"/>
        </w:rPr>
      </w:pPr>
      <w:r w:rsidRPr="00EE62B6">
        <w:rPr>
          <w:rFonts w:ascii="Calibri" w:hAnsi="Calibri" w:cs="Calibri"/>
          <w:color w:val="000000" w:themeColor="text1"/>
          <w:sz w:val="22"/>
          <w:szCs w:val="22"/>
          <w:lang w:val="en-US"/>
        </w:rPr>
        <w:t xml:space="preserve">The 55-year cycle is the well-known Kondratieff wave (Kondratieff, 1926; 1928) in economic variables such as prices, interest rates, wages, consumption, foreign trade and coal, pig iron, lead and wheat. The Kondratieff literature offers a great many references. See De Groot et al. </w:t>
      </w:r>
      <w:r>
        <w:rPr>
          <w:rFonts w:ascii="Calibri" w:hAnsi="Calibri" w:cs="Calibri"/>
          <w:color w:val="000000" w:themeColor="text1"/>
          <w:sz w:val="22"/>
          <w:szCs w:val="22"/>
        </w:rPr>
        <w:t>(2021, 2022).</w:t>
      </w:r>
    </w:p>
    <w:p w14:paraId="527D414E" w14:textId="1246A092" w:rsidR="00040449" w:rsidRPr="00EE62B6" w:rsidRDefault="00040449" w:rsidP="00040449">
      <w:pPr>
        <w:pStyle w:val="Normaalweb"/>
        <w:rPr>
          <w:rFonts w:ascii="Calibri" w:hAnsi="Calibri" w:cs="Calibri"/>
          <w:color w:val="000000" w:themeColor="text1"/>
          <w:sz w:val="22"/>
          <w:szCs w:val="22"/>
          <w:lang w:val="en-US"/>
        </w:rPr>
      </w:pPr>
      <w:r w:rsidRPr="00EE62B6">
        <w:rPr>
          <w:rFonts w:ascii="Calibri" w:hAnsi="Calibri" w:cs="Calibri"/>
          <w:color w:val="000000" w:themeColor="text1"/>
          <w:sz w:val="22"/>
          <w:szCs w:val="22"/>
          <w:lang w:val="en-US"/>
        </w:rPr>
        <w:t>The so-called four-generation cohort cycle, with a length of approximately 90 years, has been extensively researched by Howe and Strauss (2000) and Strauss and Howe (1992, 2009). This cycle arises because generationally recessive and dominant generations alternate.</w:t>
      </w:r>
    </w:p>
    <w:p w14:paraId="7E46900C" w14:textId="6E581ECA" w:rsidR="00040449" w:rsidRPr="00EE62B6" w:rsidRDefault="00040449" w:rsidP="006832DE">
      <w:pPr>
        <w:pStyle w:val="Normaalweb"/>
        <w:rPr>
          <w:rFonts w:ascii="Calibri" w:hAnsi="Calibri" w:cs="Calibri"/>
          <w:color w:val="000000" w:themeColor="text1"/>
          <w:sz w:val="22"/>
          <w:szCs w:val="22"/>
          <w:lang w:val="en-US"/>
        </w:rPr>
      </w:pPr>
      <w:r w:rsidRPr="00EE62B6">
        <w:rPr>
          <w:rFonts w:ascii="Calibri" w:hAnsi="Calibri" w:cs="Calibri"/>
          <w:color w:val="000000" w:themeColor="text1"/>
          <w:sz w:val="22"/>
          <w:szCs w:val="22"/>
          <w:lang w:val="en-US"/>
        </w:rPr>
        <w:t xml:space="preserve">Finally, the 145-year cycle is attributed to war and hegemony. Hegemony is described by Goldstein (1988, 2003, 2006) as the ability of one country to center the world economy around itself. Within this context, Modelski (1978, 2006) describes the leadership cycle, Wallerstein (1983) the world system, and </w:t>
      </w:r>
      <w:proofErr w:type="spellStart"/>
      <w:r w:rsidRPr="00EE62B6">
        <w:rPr>
          <w:rFonts w:ascii="Calibri" w:hAnsi="Calibri" w:cs="Calibri"/>
          <w:color w:val="000000" w:themeColor="text1"/>
          <w:sz w:val="22"/>
          <w:szCs w:val="22"/>
          <w:lang w:val="en-US"/>
        </w:rPr>
        <w:t>Organski</w:t>
      </w:r>
      <w:proofErr w:type="spellEnd"/>
      <w:r w:rsidRPr="00EE62B6">
        <w:rPr>
          <w:rFonts w:ascii="Calibri" w:hAnsi="Calibri" w:cs="Calibri"/>
          <w:color w:val="000000" w:themeColor="text1"/>
          <w:sz w:val="22"/>
          <w:szCs w:val="22"/>
          <w:lang w:val="en-US"/>
        </w:rPr>
        <w:t xml:space="preserve"> (1958) the transfer of power. Modelski and Thompson (1988), Reijnders (2006; 1990), and Mandel (1995) found this cycle to be independent of the Kondratieff wave. The peaks of the Kondratieff wave are often confused with the hegemony wave.</w:t>
      </w:r>
    </w:p>
    <w:p w14:paraId="1BB65BDA" w14:textId="77777777" w:rsidR="00A954A4" w:rsidRPr="00EE62B6" w:rsidRDefault="00A954A4" w:rsidP="006832DE">
      <w:pPr>
        <w:pStyle w:val="Normaalweb"/>
        <w:rPr>
          <w:rFonts w:ascii="Calibri" w:hAnsi="Calibri" w:cs="Calibri"/>
          <w:sz w:val="22"/>
          <w:szCs w:val="22"/>
          <w:lang w:val="en-US"/>
        </w:rPr>
      </w:pPr>
    </w:p>
    <w:p w14:paraId="0156759D" w14:textId="77777777" w:rsidR="00A954A4" w:rsidRPr="00EE62B6" w:rsidRDefault="00A954A4" w:rsidP="006832DE">
      <w:pPr>
        <w:pStyle w:val="Normaalweb"/>
        <w:rPr>
          <w:rFonts w:ascii="Calibri" w:hAnsi="Calibri" w:cs="Calibri"/>
          <w:sz w:val="22"/>
          <w:szCs w:val="22"/>
          <w:lang w:val="en-US"/>
        </w:rPr>
      </w:pPr>
    </w:p>
    <w:p w14:paraId="35AF20E7" w14:textId="77777777" w:rsidR="00040634" w:rsidRPr="00EE62B6" w:rsidRDefault="00713A59">
      <w:pPr>
        <w:pStyle w:val="Kop1"/>
        <w:spacing w:before="320" w:after="160"/>
        <w:rPr>
          <w:lang w:val="en-US"/>
        </w:rPr>
      </w:pPr>
      <w:r w:rsidRPr="00EE62B6">
        <w:rPr>
          <w:lang w:val="en-US"/>
        </w:rPr>
        <w:lastRenderedPageBreak/>
        <w:t>3. A mathematical model for investment behavior</w:t>
      </w:r>
    </w:p>
    <w:p w14:paraId="1A8E1596" w14:textId="44408BD2" w:rsidR="00040634" w:rsidRPr="00EE62B6" w:rsidRDefault="00713A59">
      <w:pPr>
        <w:spacing w:after="160"/>
        <w:jc w:val="both"/>
        <w:rPr>
          <w:lang w:val="en-US"/>
        </w:rPr>
      </w:pPr>
      <w:r w:rsidRPr="00EE62B6">
        <w:rPr>
          <w:lang w:val="en-US"/>
        </w:rPr>
        <w:t xml:space="preserve">To formulate a theory for the persistence of non-resonating cycles, we develop a mathematical model for investment behavior, in the tradition of the ABCT. We base our model on the dynamic model of May (1978) for the populations of insects and their </w:t>
      </w:r>
      <w:proofErr w:type="gramStart"/>
      <w:r w:rsidRPr="00EE62B6">
        <w:rPr>
          <w:lang w:val="en-US"/>
        </w:rPr>
        <w:t>parasitoids, and</w:t>
      </w:r>
      <w:proofErr w:type="gramEnd"/>
      <w:r w:rsidRPr="00EE62B6">
        <w:rPr>
          <w:lang w:val="en-US"/>
        </w:rPr>
        <w:t xml:space="preserve"> reinterpret this in a macro-economic context. The insect population represents total investment I, and the parasitoid population represents malinvestment I(m), the fraction of investment that is not correctly allocated.</w:t>
      </w:r>
    </w:p>
    <w:p w14:paraId="57DEE2E6" w14:textId="77777777" w:rsidR="00040634" w:rsidRPr="00EE62B6" w:rsidRDefault="00713A59">
      <w:pPr>
        <w:spacing w:after="160"/>
        <w:jc w:val="both"/>
        <w:rPr>
          <w:lang w:val="en-US"/>
        </w:rPr>
      </w:pPr>
      <w:r w:rsidRPr="00EE62B6">
        <w:rPr>
          <w:lang w:val="en-US"/>
        </w:rPr>
        <w:t>As more is invested, the share of malinvestment also grows. We specify this relationship such that the risk of malinvestment increases with the size of the existing malinvestment, which leads to a Poisson distribution of malinvestments (</w:t>
      </w:r>
      <w:proofErr w:type="spellStart"/>
      <w:r w:rsidRPr="00EE62B6">
        <w:rPr>
          <w:lang w:val="en-US"/>
        </w:rPr>
        <w:t>Lauwerier</w:t>
      </w:r>
      <w:proofErr w:type="spellEnd"/>
      <w:r w:rsidRPr="00EE62B6">
        <w:rPr>
          <w:lang w:val="en-US"/>
        </w:rPr>
        <w:t xml:space="preserve"> and Metz, 1986; Hassell, 2000). Under the assumption that investment and malinvestment share the same natural growth rate a — a simplification that makes the analysis in Section 4 possible — this results in the following specification:</w:t>
      </w:r>
    </w:p>
    <w:tbl>
      <w:tblPr>
        <w:tblW w:w="95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700"/>
        <w:gridCol w:w="800"/>
      </w:tblGrid>
      <w:tr w:rsidR="00040634" w14:paraId="42EC5C61" w14:textId="77777777">
        <w:tc>
          <w:tcPr>
            <w:tcW w:w="8700" w:type="dxa"/>
            <w:tcBorders>
              <w:top w:val="none" w:sz="0" w:space="0" w:color="FFFFFF"/>
              <w:left w:val="none" w:sz="0" w:space="0" w:color="FFFFFF"/>
              <w:bottom w:val="none" w:sz="0" w:space="0" w:color="FFFFFF"/>
              <w:right w:val="none" w:sz="0" w:space="0" w:color="FFFFFF"/>
            </w:tcBorders>
            <w:vAlign w:val="center"/>
          </w:tcPr>
          <w:p w14:paraId="1CB36F5E" w14:textId="77777777" w:rsidR="00040634" w:rsidRDefault="00713A59">
            <w:pPr>
              <w:spacing w:before="200" w:after="200"/>
              <w:jc w:val="center"/>
            </w:pPr>
            <w:r>
              <w:rPr>
                <w:noProof/>
              </w:rPr>
              <w:drawing>
                <wp:inline distT="0" distB="0" distL="0" distR="0" wp14:anchorId="6D50FA82" wp14:editId="7BE949C1">
                  <wp:extent cx="2276475"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76475" cy="762000"/>
                          </a:xfrm>
                          <a:prstGeom prst="rect">
                            <a:avLst/>
                          </a:prstGeom>
                        </pic:spPr>
                      </pic:pic>
                    </a:graphicData>
                  </a:graphic>
                </wp:inline>
              </w:drawing>
            </w:r>
          </w:p>
        </w:tc>
        <w:tc>
          <w:tcPr>
            <w:tcW w:w="800" w:type="dxa"/>
            <w:tcBorders>
              <w:top w:val="none" w:sz="0" w:space="0" w:color="FFFFFF"/>
              <w:left w:val="none" w:sz="0" w:space="0" w:color="FFFFFF"/>
              <w:bottom w:val="none" w:sz="0" w:space="0" w:color="FFFFFF"/>
              <w:right w:val="none" w:sz="0" w:space="0" w:color="FFFFFF"/>
            </w:tcBorders>
            <w:vAlign w:val="center"/>
          </w:tcPr>
          <w:p w14:paraId="2AC42C83" w14:textId="37387CBC" w:rsidR="00040634" w:rsidRDefault="00713A59">
            <w:pPr>
              <w:jc w:val="right"/>
            </w:pPr>
            <w:r>
              <w:t>(1)</w:t>
            </w:r>
          </w:p>
        </w:tc>
      </w:tr>
    </w:tbl>
    <w:p w14:paraId="00A0D753" w14:textId="21F1188B" w:rsidR="00040634" w:rsidRPr="00EE62B6" w:rsidRDefault="00713A59">
      <w:pPr>
        <w:spacing w:after="160"/>
        <w:jc w:val="both"/>
        <w:rPr>
          <w:lang w:val="en-US"/>
        </w:rPr>
      </w:pPr>
      <w:r w:rsidRPr="00EE62B6">
        <w:rPr>
          <w:lang w:val="en-US"/>
        </w:rPr>
        <w:t>To illustrate the model, we simulate the path of Eq. (1) with a = 1.3, an initial investment I1 = 1.0 and an initial malinvestment fraction I(m)1 = 0.5. Figure 1 shows the resulting growth rate of investment over time; the cyclical behavior of the model is immediately visible. Figure 2 shows the development of investment against malinvestment, that is, both quantities move cyclically around a long-term mean.</w:t>
      </w:r>
    </w:p>
    <w:p w14:paraId="357135B6" w14:textId="471FB5FB" w:rsidR="00040634" w:rsidRDefault="00713A59">
      <w:pPr>
        <w:spacing w:before="200" w:after="40"/>
        <w:jc w:val="center"/>
      </w:pPr>
      <w:r>
        <w:rPr>
          <w:noProof/>
        </w:rPr>
        <w:drawing>
          <wp:inline distT="0" distB="0" distL="0" distR="0" wp14:anchorId="6769F3B6" wp14:editId="551A2EA5">
            <wp:extent cx="2167466" cy="1583223"/>
            <wp:effectExtent l="0" t="0" r="4445" b="4445"/>
            <wp:docPr id="58834021" name="Picture 5883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201651" cy="1608194"/>
                    </a:xfrm>
                    <a:prstGeom prst="rect">
                      <a:avLst/>
                    </a:prstGeom>
                  </pic:spPr>
                </pic:pic>
              </a:graphicData>
            </a:graphic>
          </wp:inline>
        </w:drawing>
      </w:r>
      <w:r>
        <w:t xml:space="preserve">                                            </w:t>
      </w:r>
      <w:r>
        <w:rPr>
          <w:noProof/>
        </w:rPr>
        <w:drawing>
          <wp:inline distT="0" distB="0" distL="0" distR="0" wp14:anchorId="0AC2548C" wp14:editId="3E1F4DC4">
            <wp:extent cx="1983444" cy="1654609"/>
            <wp:effectExtent l="0" t="0" r="0" b="0"/>
            <wp:docPr id="1815702144" name="Picture 181570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055954" cy="1715098"/>
                    </a:xfrm>
                    <a:prstGeom prst="rect">
                      <a:avLst/>
                    </a:prstGeom>
                  </pic:spPr>
                </pic:pic>
              </a:graphicData>
            </a:graphic>
          </wp:inline>
        </w:drawing>
      </w:r>
    </w:p>
    <w:p w14:paraId="7E42C0D3" w14:textId="7BC852B0" w:rsidR="00040634" w:rsidRPr="00EE62B6" w:rsidRDefault="00713A59" w:rsidP="004C5305">
      <w:pPr>
        <w:spacing w:after="240"/>
        <w:rPr>
          <w:b/>
          <w:bCs/>
          <w:sz w:val="20"/>
          <w:szCs w:val="20"/>
          <w:lang w:val="en-US"/>
        </w:rPr>
      </w:pPr>
      <w:r w:rsidRPr="00EE62B6">
        <w:rPr>
          <w:b/>
          <w:bCs/>
          <w:sz w:val="20"/>
          <w:szCs w:val="20"/>
          <w:lang w:val="en-US"/>
        </w:rPr>
        <w:t>Fig. 1. Simulated investment series.                          Fig. 2. Simulated investment and malinvestment series</w:t>
      </w:r>
    </w:p>
    <w:p w14:paraId="61EC6380" w14:textId="4E809027" w:rsidR="00040634" w:rsidRPr="00EE62B6" w:rsidRDefault="00713A59">
      <w:pPr>
        <w:spacing w:after="160"/>
        <w:jc w:val="both"/>
        <w:rPr>
          <w:lang w:val="en-US"/>
        </w:rPr>
      </w:pPr>
      <w:r w:rsidRPr="00EE62B6">
        <w:rPr>
          <w:lang w:val="en-US"/>
        </w:rPr>
        <w:t xml:space="preserve">Figure 2 also shows that the system is </w:t>
      </w:r>
      <w:proofErr w:type="gramStart"/>
      <w:r w:rsidRPr="00EE62B6">
        <w:rPr>
          <w:lang w:val="en-US"/>
        </w:rPr>
        <w:t>stable, but</w:t>
      </w:r>
      <w:proofErr w:type="gramEnd"/>
      <w:r w:rsidRPr="00EE62B6">
        <w:rPr>
          <w:lang w:val="en-US"/>
        </w:rPr>
        <w:t xml:space="preserve"> does not exactly repeat itself: the system is quasi-periodic, that is, the ratio between the respective frequencies is irrational. We elaborate on this further in Section 4.</w:t>
      </w:r>
    </w:p>
    <w:p w14:paraId="44B2014A" w14:textId="77777777" w:rsidR="00040634" w:rsidRPr="00EE62B6" w:rsidRDefault="00713A59">
      <w:pPr>
        <w:pStyle w:val="Kop1"/>
        <w:spacing w:before="320" w:after="160"/>
        <w:rPr>
          <w:lang w:val="en-US"/>
        </w:rPr>
      </w:pPr>
      <w:r w:rsidRPr="00EE62B6">
        <w:rPr>
          <w:lang w:val="en-US"/>
        </w:rPr>
        <w:t>4. KAM theory and the model for investment behavior</w:t>
      </w:r>
    </w:p>
    <w:p w14:paraId="7BE83AE9" w14:textId="3C47DC5B" w:rsidR="00040634" w:rsidRPr="00EE62B6" w:rsidRDefault="00713A59">
      <w:pPr>
        <w:spacing w:after="160"/>
        <w:jc w:val="both"/>
        <w:rPr>
          <w:lang w:val="en-US"/>
        </w:rPr>
      </w:pPr>
      <w:r w:rsidRPr="00EE62B6">
        <w:rPr>
          <w:lang w:val="en-US"/>
        </w:rPr>
        <w:t xml:space="preserve">In this section we analyze the dynamic properties of the investment behavior model using the Kolmogorov–Arnold–Moser (KAM) theory, which describes the effects of external shocks on quasi-periodic motions (Arnold, 1963; Kolmogorov, 1954; </w:t>
      </w:r>
      <w:proofErr w:type="spellStart"/>
      <w:r w:rsidRPr="00EE62B6">
        <w:rPr>
          <w:lang w:val="en-US"/>
        </w:rPr>
        <w:t>Möser</w:t>
      </w:r>
      <w:proofErr w:type="spellEnd"/>
      <w:r w:rsidRPr="00EE62B6">
        <w:rPr>
          <w:lang w:val="en-US"/>
        </w:rPr>
        <w:t>, 1962). As we show, our model satisfies the required assumptions, allowing its dynamic properties to be derived.</w:t>
      </w:r>
    </w:p>
    <w:p w14:paraId="17290458" w14:textId="77777777" w:rsidR="00040634" w:rsidRPr="00EE62B6" w:rsidRDefault="00713A59">
      <w:pPr>
        <w:pStyle w:val="Kop2"/>
        <w:spacing w:before="260" w:after="140"/>
        <w:rPr>
          <w:lang w:val="en-US"/>
        </w:rPr>
      </w:pPr>
      <w:r w:rsidRPr="00EE62B6">
        <w:rPr>
          <w:lang w:val="en-US"/>
        </w:rPr>
        <w:t>4.1. Application of KAM theory to the investment behavior model</w:t>
      </w:r>
    </w:p>
    <w:p w14:paraId="1B9855A6" w14:textId="7B1A83D6" w:rsidR="00040634" w:rsidRPr="00EE62B6" w:rsidRDefault="00713A59">
      <w:pPr>
        <w:spacing w:after="160"/>
        <w:jc w:val="both"/>
        <w:rPr>
          <w:lang w:val="en-US"/>
        </w:rPr>
      </w:pPr>
      <w:r w:rsidRPr="00EE62B6">
        <w:rPr>
          <w:lang w:val="en-US"/>
        </w:rPr>
        <w:t>Applied to the economy, KAM theory implies that mature economic systems consist of non-resonating cycles. Resonating cyclical behavior persists only briefly, because every shock is amplified by the resonating motion until the system collapses — a phenomenon Forrester (1977) calls unstable cycles. Non-resonating cycles, by contrast, are less affected by external shocks and persist.</w:t>
      </w:r>
    </w:p>
    <w:p w14:paraId="3E1A8531" w14:textId="7FAC5104" w:rsidR="00040634" w:rsidRPr="00EE62B6" w:rsidRDefault="00713A59">
      <w:pPr>
        <w:spacing w:after="160"/>
        <w:jc w:val="both"/>
        <w:rPr>
          <w:lang w:val="en-US"/>
        </w:rPr>
      </w:pPr>
      <w:r w:rsidRPr="00EE62B6">
        <w:rPr>
          <w:lang w:val="en-US"/>
        </w:rPr>
        <w:t>Gidea et al. (2011) show that our model in Eq. (1) satisfies the conditions of the KAM theorem, that is, it is area-preserving in the logarithmic coordinates</w:t>
      </w:r>
    </w:p>
    <w:p w14:paraId="1A747202" w14:textId="373669D5" w:rsidR="00040634" w:rsidRPr="00EE62B6" w:rsidRDefault="00713A59">
      <w:pPr>
        <w:spacing w:before="200" w:after="200"/>
        <w:jc w:val="center"/>
        <w:rPr>
          <w:lang w:val="en-US"/>
        </w:rPr>
      </w:pPr>
      <w:r>
        <w:rPr>
          <w:noProof/>
        </w:rPr>
        <w:lastRenderedPageBreak/>
        <w:drawing>
          <wp:inline distT="0" distB="0" distL="0" distR="0" wp14:anchorId="1D7D4FC5" wp14:editId="0807057E">
            <wp:extent cx="1514475" cy="361950"/>
            <wp:effectExtent l="0" t="0" r="0" b="0"/>
            <wp:docPr id="1465632644" name="Picture 146563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514475" cy="361950"/>
                    </a:xfrm>
                    <a:prstGeom prst="rect">
                      <a:avLst/>
                    </a:prstGeom>
                  </pic:spPr>
                </pic:pic>
              </a:graphicData>
            </a:graphic>
          </wp:inline>
        </w:drawing>
      </w:r>
      <w:r w:rsidRPr="00EE62B6">
        <w:rPr>
          <w:lang w:val="en-US"/>
        </w:rPr>
        <w:t xml:space="preserve">               (2)</w:t>
      </w:r>
    </w:p>
    <w:p w14:paraId="00467BF7" w14:textId="77777777" w:rsidR="00040634" w:rsidRPr="00EE62B6" w:rsidRDefault="00713A59">
      <w:pPr>
        <w:spacing w:after="160"/>
        <w:jc w:val="both"/>
        <w:rPr>
          <w:lang w:val="en-US"/>
        </w:rPr>
      </w:pPr>
      <w:r w:rsidRPr="00EE62B6">
        <w:rPr>
          <w:lang w:val="en-US"/>
        </w:rPr>
        <w:t>and has a non-trivial elliptic fixed point</w:t>
      </w:r>
    </w:p>
    <w:p w14:paraId="2B0E5FEA" w14:textId="28B0042D" w:rsidR="00040634" w:rsidRPr="00EE62B6" w:rsidRDefault="00713A59">
      <w:pPr>
        <w:spacing w:before="200" w:after="200"/>
        <w:jc w:val="center"/>
        <w:rPr>
          <w:lang w:val="en-US"/>
        </w:rPr>
      </w:pPr>
      <w:r>
        <w:rPr>
          <w:noProof/>
        </w:rPr>
        <w:drawing>
          <wp:inline distT="0" distB="0" distL="0" distR="0" wp14:anchorId="5D542858" wp14:editId="34DFCBD5">
            <wp:extent cx="1400175" cy="381000"/>
            <wp:effectExtent l="0" t="0" r="0" b="0"/>
            <wp:docPr id="1746929870" name="Picture 1746929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400175" cy="381000"/>
                    </a:xfrm>
                    <a:prstGeom prst="rect">
                      <a:avLst/>
                    </a:prstGeom>
                  </pic:spPr>
                </pic:pic>
              </a:graphicData>
            </a:graphic>
          </wp:inline>
        </w:drawing>
      </w:r>
      <w:r w:rsidRPr="00EE62B6">
        <w:rPr>
          <w:lang w:val="en-US"/>
        </w:rPr>
        <w:t xml:space="preserve">                          (3)</w:t>
      </w:r>
    </w:p>
    <w:p w14:paraId="61825BCA" w14:textId="77777777" w:rsidR="00040634" w:rsidRPr="00EE62B6" w:rsidRDefault="00713A59">
      <w:pPr>
        <w:spacing w:after="160"/>
        <w:jc w:val="both"/>
        <w:rPr>
          <w:lang w:val="en-US"/>
        </w:rPr>
      </w:pPr>
      <w:proofErr w:type="gramStart"/>
      <w:r w:rsidRPr="00EE62B6">
        <w:rPr>
          <w:lang w:val="en-US"/>
        </w:rPr>
        <w:t>where</w:t>
      </w:r>
      <w:proofErr w:type="gramEnd"/>
    </w:p>
    <w:p w14:paraId="61083D0E" w14:textId="05A7DAC2" w:rsidR="00040634" w:rsidRPr="00EE62B6" w:rsidRDefault="00713A59">
      <w:pPr>
        <w:spacing w:before="200" w:after="200"/>
        <w:jc w:val="center"/>
        <w:rPr>
          <w:lang w:val="en-US"/>
        </w:rPr>
      </w:pPr>
      <w:r>
        <w:rPr>
          <w:noProof/>
        </w:rPr>
        <w:drawing>
          <wp:inline distT="0" distB="0" distL="0" distR="0" wp14:anchorId="1198439E" wp14:editId="46F6BD33">
            <wp:extent cx="1533525" cy="381000"/>
            <wp:effectExtent l="0" t="0" r="0" b="0"/>
            <wp:docPr id="493217121" name="Picture 49321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533525" cy="381000"/>
                    </a:xfrm>
                    <a:prstGeom prst="rect">
                      <a:avLst/>
                    </a:prstGeom>
                  </pic:spPr>
                </pic:pic>
              </a:graphicData>
            </a:graphic>
          </wp:inline>
        </w:drawing>
      </w:r>
      <w:r w:rsidRPr="00EE62B6">
        <w:rPr>
          <w:lang w:val="en-US"/>
        </w:rPr>
        <w:t xml:space="preserve">                    (4)</w:t>
      </w:r>
    </w:p>
    <w:p w14:paraId="141B38C6" w14:textId="39986CED" w:rsidR="00040634" w:rsidRPr="00EE62B6" w:rsidRDefault="00713A59">
      <w:pPr>
        <w:spacing w:after="160"/>
        <w:jc w:val="both"/>
        <w:rPr>
          <w:lang w:val="en-US"/>
        </w:rPr>
      </w:pPr>
      <w:r w:rsidRPr="00EE62B6">
        <w:rPr>
          <w:lang w:val="en-US"/>
        </w:rPr>
        <w:t>An elliptic fixed point does not necessarily attract or repel neighboring points. Because this fixed point is moreover non-degenerate and non-resonant (Gidea et al., 2011), KAM theory states that stable cycles persist as invariant closed curves around this point (</w:t>
      </w:r>
      <w:proofErr w:type="spellStart"/>
      <w:r w:rsidRPr="00EE62B6">
        <w:rPr>
          <w:lang w:val="en-US"/>
        </w:rPr>
        <w:t>Möser</w:t>
      </w:r>
      <w:proofErr w:type="spellEnd"/>
      <w:r w:rsidRPr="00EE62B6">
        <w:rPr>
          <w:lang w:val="en-US"/>
        </w:rPr>
        <w:t>, 1962). Under a weak nonlinear perturbation of the system in Eq. (1), non-resonating cycles remain quasi-periodic, while others become unstable. Stable economic cycles thus do not resonate with one another.</w:t>
      </w:r>
    </w:p>
    <w:p w14:paraId="735DD2FA" w14:textId="24468E2B" w:rsidR="00040634" w:rsidRPr="00EE62B6" w:rsidRDefault="00713A59">
      <w:pPr>
        <w:pStyle w:val="Kop2"/>
        <w:spacing w:before="260" w:after="140"/>
        <w:rPr>
          <w:lang w:val="en-US"/>
        </w:rPr>
      </w:pPr>
      <w:r w:rsidRPr="00EE62B6">
        <w:rPr>
          <w:lang w:val="en-US"/>
        </w:rPr>
        <w:t>4.2. Non-resonating cycles and the golden ratio</w:t>
      </w:r>
    </w:p>
    <w:p w14:paraId="7173B2DC" w14:textId="41E24A03" w:rsidR="00040634" w:rsidRPr="00EE62B6" w:rsidRDefault="00713A59">
      <w:pPr>
        <w:spacing w:after="160"/>
        <w:jc w:val="both"/>
        <w:rPr>
          <w:lang w:val="en-US"/>
        </w:rPr>
      </w:pPr>
      <w:r w:rsidRPr="00EE62B6">
        <w:rPr>
          <w:lang w:val="en-US"/>
        </w:rPr>
        <w:t>Greene (1979) shows that the most stable motions of a dynamic system display the least resonating cycles. This (non-)resonating behavior can be quantified via the ratios of the respective frequencies, that is, the more irrational this ratio, the more stable the motion. The degree of irrationality is measured via the continued-fraction representation</w:t>
      </w:r>
    </w:p>
    <w:tbl>
      <w:tblPr>
        <w:tblW w:w="95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700"/>
        <w:gridCol w:w="800"/>
      </w:tblGrid>
      <w:tr w:rsidR="00040634" w14:paraId="49672E1F" w14:textId="77777777">
        <w:tc>
          <w:tcPr>
            <w:tcW w:w="8700" w:type="dxa"/>
            <w:tcBorders>
              <w:top w:val="none" w:sz="0" w:space="0" w:color="FFFFFF"/>
              <w:left w:val="none" w:sz="0" w:space="0" w:color="FFFFFF"/>
              <w:bottom w:val="none" w:sz="0" w:space="0" w:color="FFFFFF"/>
              <w:right w:val="none" w:sz="0" w:space="0" w:color="FFFFFF"/>
            </w:tcBorders>
            <w:vAlign w:val="center"/>
          </w:tcPr>
          <w:p w14:paraId="7EA18D71" w14:textId="77777777" w:rsidR="00040634" w:rsidRDefault="00713A59">
            <w:pPr>
              <w:spacing w:before="200" w:after="200"/>
              <w:jc w:val="center"/>
            </w:pPr>
            <w:r>
              <w:rPr>
                <w:noProof/>
              </w:rPr>
              <w:drawing>
                <wp:inline distT="0" distB="0" distL="0" distR="0" wp14:anchorId="135B788E" wp14:editId="024A8D99">
                  <wp:extent cx="1790700" cy="932815"/>
                  <wp:effectExtent l="0" t="0" r="0" b="0"/>
                  <wp:docPr id="1443998992" name="Picture 1443998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807313" cy="941469"/>
                          </a:xfrm>
                          <a:prstGeom prst="rect">
                            <a:avLst/>
                          </a:prstGeom>
                        </pic:spPr>
                      </pic:pic>
                    </a:graphicData>
                  </a:graphic>
                </wp:inline>
              </w:drawing>
            </w:r>
          </w:p>
        </w:tc>
        <w:tc>
          <w:tcPr>
            <w:tcW w:w="800" w:type="dxa"/>
            <w:tcBorders>
              <w:top w:val="none" w:sz="0" w:space="0" w:color="FFFFFF"/>
              <w:left w:val="none" w:sz="0" w:space="0" w:color="FFFFFF"/>
              <w:bottom w:val="none" w:sz="0" w:space="0" w:color="FFFFFF"/>
              <w:right w:val="none" w:sz="0" w:space="0" w:color="FFFFFF"/>
            </w:tcBorders>
            <w:vAlign w:val="center"/>
          </w:tcPr>
          <w:p w14:paraId="16BC1B12" w14:textId="77777777" w:rsidR="00040634" w:rsidRDefault="00713A59">
            <w:pPr>
              <w:jc w:val="right"/>
            </w:pPr>
            <w:r>
              <w:t>(5)</w:t>
            </w:r>
          </w:p>
        </w:tc>
      </w:tr>
    </w:tbl>
    <w:p w14:paraId="16613807" w14:textId="77777777" w:rsidR="00040634" w:rsidRPr="00EE62B6" w:rsidRDefault="00713A59">
      <w:pPr>
        <w:spacing w:after="160"/>
        <w:jc w:val="both"/>
        <w:rPr>
          <w:lang w:val="en-US"/>
        </w:rPr>
      </w:pPr>
      <w:r w:rsidRPr="00EE62B6">
        <w:rPr>
          <w:lang w:val="en-US"/>
        </w:rPr>
        <w:t>For rational numbers this series is finite, for irrational numbers infinite; the larger the terms ai, the faster the rational approximation converges. The irrational number with the slowest convergence — and thus the worst rational approximation — has a continued fraction in which all terms equal 1:</w:t>
      </w:r>
    </w:p>
    <w:tbl>
      <w:tblPr>
        <w:tblW w:w="95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700"/>
        <w:gridCol w:w="800"/>
      </w:tblGrid>
      <w:tr w:rsidR="00040634" w14:paraId="349DCD04" w14:textId="77777777">
        <w:tc>
          <w:tcPr>
            <w:tcW w:w="8700" w:type="dxa"/>
            <w:tcBorders>
              <w:top w:val="none" w:sz="0" w:space="0" w:color="FFFFFF"/>
              <w:left w:val="none" w:sz="0" w:space="0" w:color="FFFFFF"/>
              <w:bottom w:val="none" w:sz="0" w:space="0" w:color="FFFFFF"/>
              <w:right w:val="none" w:sz="0" w:space="0" w:color="FFFFFF"/>
            </w:tcBorders>
            <w:vAlign w:val="center"/>
          </w:tcPr>
          <w:p w14:paraId="2AAF1313" w14:textId="77777777" w:rsidR="00040634" w:rsidRDefault="00713A59">
            <w:pPr>
              <w:spacing w:before="200" w:after="200"/>
              <w:jc w:val="center"/>
            </w:pPr>
            <w:r>
              <w:rPr>
                <w:noProof/>
              </w:rPr>
              <w:drawing>
                <wp:inline distT="0" distB="0" distL="0" distR="0" wp14:anchorId="4319F9AC" wp14:editId="3E7B95FD">
                  <wp:extent cx="2781300" cy="899586"/>
                  <wp:effectExtent l="0" t="0" r="0" b="0"/>
                  <wp:docPr id="1327811681" name="Picture 132781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802241" cy="906359"/>
                          </a:xfrm>
                          <a:prstGeom prst="rect">
                            <a:avLst/>
                          </a:prstGeom>
                        </pic:spPr>
                      </pic:pic>
                    </a:graphicData>
                  </a:graphic>
                </wp:inline>
              </w:drawing>
            </w:r>
          </w:p>
        </w:tc>
        <w:tc>
          <w:tcPr>
            <w:tcW w:w="800" w:type="dxa"/>
            <w:tcBorders>
              <w:top w:val="none" w:sz="0" w:space="0" w:color="FFFFFF"/>
              <w:left w:val="none" w:sz="0" w:space="0" w:color="FFFFFF"/>
              <w:bottom w:val="none" w:sz="0" w:space="0" w:color="FFFFFF"/>
              <w:right w:val="none" w:sz="0" w:space="0" w:color="FFFFFF"/>
            </w:tcBorders>
            <w:vAlign w:val="center"/>
          </w:tcPr>
          <w:p w14:paraId="197B9207" w14:textId="77777777" w:rsidR="00040634" w:rsidRDefault="00713A59">
            <w:pPr>
              <w:jc w:val="right"/>
            </w:pPr>
            <w:r>
              <w:t>(6)</w:t>
            </w:r>
          </w:p>
        </w:tc>
      </w:tr>
    </w:tbl>
    <w:p w14:paraId="24CEEE51" w14:textId="48952825" w:rsidR="00040634" w:rsidRPr="00EE62B6" w:rsidRDefault="00713A59">
      <w:pPr>
        <w:spacing w:after="160"/>
        <w:jc w:val="both"/>
        <w:rPr>
          <w:lang w:val="en-US"/>
        </w:rPr>
      </w:pPr>
      <w:r w:rsidRPr="00EE62B6">
        <w:rPr>
          <w:lang w:val="en-US"/>
        </w:rPr>
        <w:t xml:space="preserve">This equation yields the golden ratio, </w:t>
      </w:r>
      <w:r>
        <w:t>φ</w:t>
      </w:r>
      <w:r w:rsidRPr="00EE62B6">
        <w:rPr>
          <w:lang w:val="en-US"/>
        </w:rPr>
        <w:t xml:space="preserve"> = (1+√5)/2, a number rounding to 1.618.</w:t>
      </w:r>
    </w:p>
    <w:p w14:paraId="18E38884" w14:textId="77777777" w:rsidR="003E1FE6" w:rsidRPr="00EE62B6" w:rsidRDefault="003E1FE6">
      <w:pPr>
        <w:rPr>
          <w:color w:val="2E74B5"/>
          <w:sz w:val="26"/>
          <w:szCs w:val="26"/>
          <w:lang w:val="en-US"/>
        </w:rPr>
      </w:pPr>
      <w:r w:rsidRPr="00EE62B6">
        <w:rPr>
          <w:lang w:val="en-US"/>
        </w:rPr>
        <w:br w:type="page"/>
      </w:r>
    </w:p>
    <w:p w14:paraId="55AFE68A" w14:textId="3EF35A7F" w:rsidR="00040634" w:rsidRPr="00EE62B6" w:rsidRDefault="00713A59">
      <w:pPr>
        <w:pStyle w:val="Kop2"/>
        <w:spacing w:before="260" w:after="140"/>
        <w:rPr>
          <w:lang w:val="en-US"/>
        </w:rPr>
      </w:pPr>
      <w:r w:rsidRPr="00EE62B6">
        <w:rPr>
          <w:lang w:val="en-US"/>
        </w:rPr>
        <w:lastRenderedPageBreak/>
        <w:t>5. The golden ratio as organizing principle of the economy</w:t>
      </w:r>
    </w:p>
    <w:p w14:paraId="72DC02C2" w14:textId="1399DE0E" w:rsidR="003E1FE6" w:rsidRPr="00EE62B6" w:rsidRDefault="00E5251D" w:rsidP="00CA78D5">
      <w:pPr>
        <w:pStyle w:val="Kop1"/>
        <w:spacing w:before="320" w:after="160"/>
        <w:rPr>
          <w:color w:val="auto"/>
          <w:sz w:val="22"/>
          <w:szCs w:val="22"/>
          <w:lang w:val="en-US"/>
        </w:rPr>
      </w:pPr>
      <w:r w:rsidRPr="00EE62B6">
        <w:rPr>
          <w:color w:val="auto"/>
          <w:sz w:val="22"/>
          <w:szCs w:val="22"/>
          <w:lang w:val="en-US"/>
        </w:rPr>
        <w:t xml:space="preserve">This article addresses two subjects. First, we discussed the origin of multiple economic cycles and the implicit relationships between cycle lengths. We showed empirically that the ratios between consecutive cycle lengths often closely match the golden ratio. Second, we introduced a dynamic model for investment behavior, inspired by Austrian business cycle theory, that satisfies the conditions of Kolmogorov–Arnold–Moser theory. This model shows that the cycles of the system must be non-resonant to ensure stability, and that the most irrational number, </w:t>
      </w:r>
      <w:r>
        <w:rPr>
          <w:color w:val="auto"/>
          <w:sz w:val="22"/>
          <w:szCs w:val="22"/>
        </w:rPr>
        <w:t>φ</w:t>
      </w:r>
      <w:r w:rsidRPr="00EE62B6">
        <w:rPr>
          <w:color w:val="auto"/>
          <w:sz w:val="22"/>
          <w:szCs w:val="22"/>
          <w:lang w:val="en-US"/>
        </w:rPr>
        <w:t xml:space="preserve">, maximizes this stability. The golden ratio, </w:t>
      </w:r>
      <w:r>
        <w:rPr>
          <w:color w:val="auto"/>
          <w:sz w:val="22"/>
          <w:szCs w:val="22"/>
        </w:rPr>
        <w:t>φ</w:t>
      </w:r>
      <w:r w:rsidRPr="00EE62B6">
        <w:rPr>
          <w:color w:val="auto"/>
          <w:sz w:val="22"/>
          <w:szCs w:val="22"/>
          <w:lang w:val="en-US"/>
        </w:rPr>
        <w:t>, thus constitutes the organizing principle of the economy.</w:t>
      </w:r>
    </w:p>
    <w:p w14:paraId="00ADD39E" w14:textId="75AC6CEF" w:rsidR="00F2226C" w:rsidRPr="00EE62B6" w:rsidRDefault="00713A59" w:rsidP="00CA78D5">
      <w:pPr>
        <w:pStyle w:val="Kop1"/>
        <w:spacing w:before="320" w:after="160"/>
        <w:rPr>
          <w:lang w:val="en-US"/>
        </w:rPr>
      </w:pPr>
      <w:r w:rsidRPr="00EE62B6">
        <w:rPr>
          <w:lang w:val="en-US"/>
        </w:rPr>
        <w:t>References</w:t>
      </w:r>
    </w:p>
    <w:p w14:paraId="1C598ADD" w14:textId="77777777" w:rsidR="00AF1FC9" w:rsidRPr="00AF1FC9" w:rsidRDefault="00AF1FC9" w:rsidP="00AF1FC9">
      <w:pPr>
        <w:spacing w:after="160"/>
        <w:ind w:left="720" w:hanging="720"/>
        <w:rPr>
          <w:lang w:val="en-US"/>
        </w:rPr>
      </w:pPr>
      <w:r>
        <w:rPr>
          <w:lang w:val="en-US"/>
        </w:rPr>
        <w:t>Abramovitz, M., 1959. Historical and comparative rates of production, productivity and prices. Cited in: Solomou, S., Shimazaki, M., 2007. Japanese episodic long swings in economic growth. Explorations in Economic History 44, 224–241.</w:t>
      </w:r>
    </w:p>
    <w:p w14:paraId="32310DB0" w14:textId="77777777" w:rsidR="00AF1FC9" w:rsidRPr="00AF1FC9" w:rsidRDefault="00AF1FC9" w:rsidP="00AF1FC9">
      <w:pPr>
        <w:spacing w:after="160"/>
        <w:ind w:left="720" w:hanging="720"/>
        <w:rPr>
          <w:lang w:val="en-US"/>
        </w:rPr>
      </w:pPr>
      <w:r>
        <w:rPr>
          <w:lang w:val="en-US"/>
        </w:rPr>
        <w:t>Arnold, V.I., 1963. Proof of a theorem of A.N. Kolmogorov on the preservation of conditionally periodic motions under a small perturbation of the Hamiltonian. Uspekhi Matematicheskikh Nauk 18, 13–40.</w:t>
      </w:r>
    </w:p>
    <w:p w14:paraId="1EE6E4C4" w14:textId="77777777" w:rsidR="00AF1FC9" w:rsidRPr="00AF1FC9" w:rsidRDefault="00AF1FC9" w:rsidP="00AF1FC9">
      <w:pPr>
        <w:spacing w:after="160"/>
        <w:ind w:left="720" w:hanging="720"/>
        <w:rPr>
          <w:lang w:val="en-US"/>
        </w:rPr>
      </w:pPr>
      <w:r>
        <w:rPr>
          <w:lang w:val="en-US"/>
        </w:rPr>
        <w:t>Berry, B.J.L., 2000. A pacemaker for the long wave. Technological Forecasting and Social Change 63, 1–23.</w:t>
      </w:r>
    </w:p>
    <w:p w14:paraId="1AE30627" w14:textId="77777777" w:rsidR="00AF1FC9" w:rsidRPr="00AF1FC9" w:rsidRDefault="00AF1FC9" w:rsidP="00AF1FC9">
      <w:pPr>
        <w:spacing w:after="160"/>
        <w:ind w:left="720" w:hanging="720"/>
        <w:rPr>
          <w:lang w:val="en-US"/>
        </w:rPr>
      </w:pPr>
      <w:r>
        <w:rPr>
          <w:lang w:val="en-US"/>
        </w:rPr>
        <w:t xml:space="preserve">Berry, B.J.L., Kim, H., 1994. Leadership generations: a </w:t>
      </w:r>
      <w:proofErr w:type="gramStart"/>
      <w:r>
        <w:rPr>
          <w:lang w:val="en-US"/>
        </w:rPr>
        <w:t>long-wave</w:t>
      </w:r>
      <w:proofErr w:type="gramEnd"/>
      <w:r>
        <w:rPr>
          <w:lang w:val="en-US"/>
        </w:rPr>
        <w:t xml:space="preserve"> macrohistory. Technological Forecasting and Social Change 46, 1–9.</w:t>
      </w:r>
    </w:p>
    <w:p w14:paraId="126FBC92" w14:textId="77777777" w:rsidR="00AF1FC9" w:rsidRPr="00AF1FC9" w:rsidRDefault="00AF1FC9" w:rsidP="00AF1FC9">
      <w:pPr>
        <w:spacing w:after="160"/>
        <w:ind w:left="720" w:hanging="720"/>
        <w:rPr>
          <w:lang w:val="en-US"/>
        </w:rPr>
      </w:pPr>
      <w:r>
        <w:rPr>
          <w:lang w:val="en-US"/>
        </w:rPr>
        <w:t>Berry, B.J.L., Kim, H., Kim, H.-M., 1993. Are long waves driven by techno-economic transformations? Evidence for the US and the UK. Technological Forecasting and Social Change 44, 111–135.</w:t>
      </w:r>
    </w:p>
    <w:p w14:paraId="63A1DB91" w14:textId="77777777" w:rsidR="00AF1FC9" w:rsidRPr="00AF1FC9" w:rsidRDefault="00AF1FC9" w:rsidP="00AF1FC9">
      <w:pPr>
        <w:spacing w:after="160"/>
        <w:ind w:left="720" w:hanging="720"/>
        <w:rPr>
          <w:lang w:val="en-US"/>
        </w:rPr>
      </w:pPr>
      <w:r>
        <w:rPr>
          <w:lang w:val="en-US"/>
        </w:rPr>
        <w:t>Berry, B.J.L., Kim, H., Baker, E.S., 2001. Low-frequency waves of inflation and economic growth: digital spectral analysis. Technological Forecasting and Social Change 68, 63–73.</w:t>
      </w:r>
    </w:p>
    <w:p w14:paraId="53714229" w14:textId="77777777" w:rsidR="00AF1FC9" w:rsidRPr="00AF1FC9" w:rsidRDefault="00AF1FC9" w:rsidP="00AF1FC9">
      <w:pPr>
        <w:spacing w:after="160"/>
        <w:ind w:left="720" w:hanging="720"/>
        <w:rPr>
          <w:lang w:val="en-US"/>
        </w:rPr>
      </w:pPr>
      <w:r>
        <w:rPr>
          <w:lang w:val="en-US"/>
        </w:rPr>
        <w:t>Burns, A.F., Mitchell, W.C., 1947. Measuring Business Cycles. National Bureau of Economic Research, New York.</w:t>
      </w:r>
    </w:p>
    <w:p w14:paraId="3B03FBBB" w14:textId="77777777" w:rsidR="00AF1FC9" w:rsidRPr="00AF1FC9" w:rsidRDefault="00AF1FC9" w:rsidP="00AF1FC9">
      <w:pPr>
        <w:spacing w:after="160"/>
        <w:ind w:left="720" w:hanging="720"/>
        <w:rPr>
          <w:lang w:val="en-US"/>
        </w:rPr>
      </w:pPr>
      <w:r>
        <w:rPr>
          <w:lang w:val="en-US"/>
        </w:rPr>
        <w:t>Chierchia, L., Pinzari, G., 2011. The planetary n-body problem: symplectic foliation, reductions and invariant tori. Inventiones Mathematicae 186, 1–77.</w:t>
      </w:r>
    </w:p>
    <w:p w14:paraId="22DD10CC" w14:textId="77777777" w:rsidR="00AF1FC9" w:rsidRPr="00AF1FC9" w:rsidRDefault="00AF1FC9" w:rsidP="00AF1FC9">
      <w:pPr>
        <w:spacing w:after="160"/>
        <w:ind w:left="720" w:hanging="720"/>
        <w:rPr>
          <w:lang w:val="en-US"/>
        </w:rPr>
      </w:pPr>
      <w:r>
        <w:rPr>
          <w:lang w:val="en-US"/>
        </w:rPr>
        <w:t>Clarke, H., 1847. Physical Economy: A Preliminary Inquiry into the Physical Laws Governing the Periods of Famines and Panics. Reprinted in Louçã, F., Reijnders, J. (Eds.), 1999. The Foundations of Long Wave Theory: Models and Methodology, Vol. 1. Edward Elgar, Cheltenham, pp. 3–20.</w:t>
      </w:r>
    </w:p>
    <w:p w14:paraId="15DA301D" w14:textId="77777777" w:rsidR="00AF1FC9" w:rsidRPr="00AF1FC9" w:rsidRDefault="00AF1FC9" w:rsidP="00AF1FC9">
      <w:pPr>
        <w:spacing w:after="160"/>
        <w:ind w:left="720" w:hanging="720"/>
        <w:rPr>
          <w:lang w:val="en-US"/>
        </w:rPr>
      </w:pPr>
      <w:r>
        <w:rPr>
          <w:lang w:val="en-US"/>
        </w:rPr>
        <w:t>Coccia, M., 2018. A theory of the general causes of long waves: war, general purpose technologies, and economic change. Technological Forecasting and Social Change 128, 287–295.</w:t>
      </w:r>
    </w:p>
    <w:p w14:paraId="6E747F61" w14:textId="77777777" w:rsidR="00AF1FC9" w:rsidRPr="00AF1FC9" w:rsidRDefault="00AF1FC9" w:rsidP="00AF1FC9">
      <w:pPr>
        <w:spacing w:after="160"/>
        <w:ind w:left="720" w:hanging="720"/>
        <w:rPr>
          <w:lang w:val="en-US"/>
        </w:rPr>
      </w:pPr>
      <w:r>
        <w:rPr>
          <w:lang w:val="en-US"/>
        </w:rPr>
        <w:t>De Groot, E.A., 2006. Essays on Economic Cycles. Erasmus University Rotterdam, ERIM Ph.D. Series Research in Management, No. 91.</w:t>
      </w:r>
    </w:p>
    <w:p w14:paraId="0647AAF2" w14:textId="77777777" w:rsidR="00AF1FC9" w:rsidRPr="00AF1FC9" w:rsidRDefault="00AF1FC9" w:rsidP="00AF1FC9">
      <w:pPr>
        <w:spacing w:after="160"/>
        <w:ind w:left="720" w:hanging="720"/>
        <w:rPr>
          <w:lang w:val="en-US"/>
        </w:rPr>
      </w:pPr>
      <w:r>
        <w:t xml:space="preserve">De Groot, E.A., Franses, P.H.B.F., 2008. </w:t>
      </w:r>
      <w:r>
        <w:rPr>
          <w:lang w:val="en-US"/>
        </w:rPr>
        <w:t>Stability through cycles. Technological Forecasting and Social Change 75, 301–311.</w:t>
      </w:r>
    </w:p>
    <w:p w14:paraId="0675BF63" w14:textId="77777777" w:rsidR="00AF1FC9" w:rsidRPr="00AF1FC9" w:rsidRDefault="00AF1FC9" w:rsidP="00AF1FC9">
      <w:pPr>
        <w:spacing w:after="160"/>
        <w:ind w:left="720" w:hanging="720"/>
        <w:rPr>
          <w:lang w:val="en-US"/>
        </w:rPr>
      </w:pPr>
      <w:r>
        <w:t xml:space="preserve">De Groot, E.A., Franses, P.H.B.F., 2009. </w:t>
      </w:r>
      <w:r>
        <w:rPr>
          <w:lang w:val="en-US"/>
        </w:rPr>
        <w:t>Cycles in basic innovations. Technological Forecasting and Social Change 76, 1021–1025.</w:t>
      </w:r>
    </w:p>
    <w:p w14:paraId="6E3BF8A7" w14:textId="77777777" w:rsidR="00AF1FC9" w:rsidRPr="00AF1FC9" w:rsidRDefault="00AF1FC9" w:rsidP="00AF1FC9">
      <w:pPr>
        <w:spacing w:after="160"/>
        <w:ind w:left="720" w:hanging="720"/>
        <w:rPr>
          <w:lang w:val="en-US"/>
        </w:rPr>
      </w:pPr>
      <w:r>
        <w:t xml:space="preserve">De Groot, E.A., Franses, P.H., 2012. </w:t>
      </w:r>
      <w:r>
        <w:rPr>
          <w:lang w:val="en-US"/>
        </w:rPr>
        <w:t>Common socio-economic cycle periods. Technological Forecasting and Social Change 79, 59–68.</w:t>
      </w:r>
    </w:p>
    <w:p w14:paraId="0DBF07A5" w14:textId="77777777" w:rsidR="00AF1FC9" w:rsidRPr="00AF1FC9" w:rsidRDefault="00AF1FC9" w:rsidP="00AF1FC9">
      <w:pPr>
        <w:spacing w:after="160"/>
        <w:ind w:left="720" w:hanging="720"/>
        <w:rPr>
          <w:lang w:val="en-US"/>
        </w:rPr>
      </w:pPr>
      <w:r>
        <w:rPr>
          <w:lang w:val="en-US"/>
        </w:rPr>
        <w:t>De Groot, E.A., Segers, R., Prins, D., 2021. Disentangling the enigma of multi-structured economic cycles - a new appearance of the golden ratio. Technological Forecasting and Social Change 169, 120793.</w:t>
      </w:r>
    </w:p>
    <w:p w14:paraId="74950AD9" w14:textId="77777777" w:rsidR="00AF1FC9" w:rsidRPr="00AF1FC9" w:rsidRDefault="00AF1FC9" w:rsidP="00AF1FC9">
      <w:pPr>
        <w:spacing w:after="160"/>
        <w:ind w:left="720" w:hanging="720"/>
        <w:rPr>
          <w:lang w:val="en-US"/>
        </w:rPr>
      </w:pPr>
      <w:r>
        <w:rPr>
          <w:lang w:val="en-US"/>
        </w:rPr>
        <w:lastRenderedPageBreak/>
        <w:t>De Groot, E.A., Segers, R., Prins, D., 2022. Non-resonating cycles in a dynamic model for investment behavior. Technological Forecasting and Social Change 177, 121515.</w:t>
      </w:r>
    </w:p>
    <w:p w14:paraId="14CE12BB" w14:textId="77777777" w:rsidR="00AF1FC9" w:rsidRPr="00AF1FC9" w:rsidRDefault="00AF1FC9" w:rsidP="00AF1FC9">
      <w:pPr>
        <w:spacing w:after="160"/>
        <w:ind w:left="720" w:hanging="720"/>
        <w:rPr>
          <w:lang w:val="en-US"/>
        </w:rPr>
      </w:pPr>
      <w:r>
        <w:rPr>
          <w:lang w:val="en-US"/>
        </w:rPr>
        <w:t>De Groot, E.A., Segers, R., Gelderman, E., Hugenholtz, M.D., Slob, R.J.R., 2026. Frisch' Last Proposition. Submitted for publication.</w:t>
      </w:r>
    </w:p>
    <w:p w14:paraId="40B158FD" w14:textId="77777777" w:rsidR="00AF1FC9" w:rsidRPr="00AF1FC9" w:rsidRDefault="00AF1FC9" w:rsidP="00AF1FC9">
      <w:pPr>
        <w:spacing w:after="160"/>
        <w:ind w:left="720" w:hanging="720"/>
        <w:rPr>
          <w:lang w:val="en-US"/>
        </w:rPr>
      </w:pPr>
      <w:r>
        <w:rPr>
          <w:lang w:val="en-US"/>
        </w:rPr>
        <w:t>Dent, H.S., 1999. The Roaring 2000's: Building the Wealth and Lifestyle You Desire in the Greatest Boom in History. Simon and Schuster, New York.</w:t>
      </w:r>
    </w:p>
    <w:p w14:paraId="6EAFBF91" w14:textId="77777777" w:rsidR="00AF1FC9" w:rsidRPr="00AF1FC9" w:rsidRDefault="00AF1FC9" w:rsidP="00AF1FC9">
      <w:pPr>
        <w:spacing w:after="160"/>
        <w:ind w:left="720" w:hanging="720"/>
        <w:rPr>
          <w:lang w:val="en-US"/>
        </w:rPr>
      </w:pPr>
      <w:r>
        <w:rPr>
          <w:lang w:val="en-US"/>
        </w:rPr>
        <w:t>Devezas, T.C., 2005. Evolutionary theory of technological change: state-of-the-art and new approaches. Technological Forecasting and Social Change 72, 1137–1152.</w:t>
      </w:r>
    </w:p>
    <w:p w14:paraId="67551FD3" w14:textId="77777777" w:rsidR="00AF1FC9" w:rsidRPr="00AF1FC9" w:rsidRDefault="00AF1FC9" w:rsidP="00AF1FC9">
      <w:pPr>
        <w:spacing w:after="160"/>
        <w:ind w:left="720" w:hanging="720"/>
        <w:rPr>
          <w:lang w:val="en-US"/>
        </w:rPr>
      </w:pPr>
      <w:r>
        <w:rPr>
          <w:lang w:val="en-US"/>
        </w:rPr>
        <w:t>Devezas, T.C., Corredine, J.T., 2001. The biological determinants of long-wave behavior in socioeconomic growth and development. Technological Forecasting and Social Change 68, 1–57.</w:t>
      </w:r>
    </w:p>
    <w:p w14:paraId="47B2CF1F" w14:textId="77777777" w:rsidR="00AF1FC9" w:rsidRPr="00AF1FC9" w:rsidRDefault="00AF1FC9" w:rsidP="00AF1FC9">
      <w:pPr>
        <w:spacing w:after="160"/>
        <w:ind w:left="720" w:hanging="720"/>
        <w:rPr>
          <w:lang w:val="en-US"/>
        </w:rPr>
      </w:pPr>
      <w:r>
        <w:rPr>
          <w:lang w:val="en-US"/>
        </w:rPr>
        <w:t>Devezas, T.C., Corredine, J.T., 2002. The nonlinear dynamics of technoeconomic systems: an informational interpretation. Technological Forecasting and Social Change 69, 317–357.</w:t>
      </w:r>
    </w:p>
    <w:p w14:paraId="31C0C090" w14:textId="77777777" w:rsidR="00AF1FC9" w:rsidRPr="00AF1FC9" w:rsidRDefault="00AF1FC9" w:rsidP="00AF1FC9">
      <w:pPr>
        <w:spacing w:after="160"/>
        <w:ind w:left="720" w:hanging="720"/>
        <w:rPr>
          <w:lang w:val="en-US"/>
        </w:rPr>
      </w:pPr>
      <w:r>
        <w:rPr>
          <w:lang w:val="en-US"/>
        </w:rPr>
        <w:t>Devezas, T.C., Linstone, H.A., Santos, H.J.S., 2007. The growth of the internet, long waves, and global change, in: Globalization as Evolutionary Process: Modeling Global Change. Routledge, London, p. 310.</w:t>
      </w:r>
    </w:p>
    <w:p w14:paraId="4AA82828" w14:textId="77777777" w:rsidR="00AF1FC9" w:rsidRPr="00AF1FC9" w:rsidRDefault="00AF1FC9" w:rsidP="00AF1FC9">
      <w:pPr>
        <w:spacing w:after="160"/>
        <w:ind w:left="720" w:hanging="720"/>
        <w:rPr>
          <w:lang w:val="en-US"/>
        </w:rPr>
      </w:pPr>
      <w:r>
        <w:rPr>
          <w:lang w:val="en-US"/>
        </w:rPr>
        <w:t>De Wolff, S., 1924. Prosperitäts- und Depressionsperioden. Thüringische Verlagsanstalt und Druckerei, Leipzig.</w:t>
      </w:r>
    </w:p>
    <w:p w14:paraId="30196A30" w14:textId="77777777" w:rsidR="00AF1FC9" w:rsidRPr="00AF1FC9" w:rsidRDefault="00AF1FC9" w:rsidP="00AF1FC9">
      <w:pPr>
        <w:spacing w:after="160"/>
        <w:ind w:left="720" w:hanging="720"/>
        <w:rPr>
          <w:lang w:val="en-US"/>
        </w:rPr>
      </w:pPr>
      <w:r>
        <w:t xml:space="preserve">De Wolff, S., 1929. Het Economisch Getij: Bijdrage tot de Verklaring van het Conjunctuurverschijnsel. </w:t>
      </w:r>
      <w:r>
        <w:rPr>
          <w:lang w:val="en-US"/>
        </w:rPr>
        <w:t>J. Emmering, Amsterdam.</w:t>
      </w:r>
    </w:p>
    <w:p w14:paraId="5A0B7D3E" w14:textId="77777777" w:rsidR="00AF1FC9" w:rsidRPr="00AF1FC9" w:rsidRDefault="00AF1FC9" w:rsidP="00AF1FC9">
      <w:pPr>
        <w:spacing w:after="160"/>
        <w:ind w:left="720" w:hanging="720"/>
        <w:rPr>
          <w:lang w:val="en-US"/>
        </w:rPr>
      </w:pPr>
      <w:r>
        <w:rPr>
          <w:lang w:val="en-US"/>
        </w:rPr>
        <w:t>Dumas, H.S., 2014. The KAM Story: A Friendly Introduction to the Content, History, and Significance of Classical Kolmogorov-Arnold-Moser Theory. World Scientific Publishing Company, Singapore.</w:t>
      </w:r>
    </w:p>
    <w:p w14:paraId="05D08A25" w14:textId="77777777" w:rsidR="00AF1FC9" w:rsidRPr="00AF1FC9" w:rsidRDefault="00AF1FC9" w:rsidP="00AF1FC9">
      <w:pPr>
        <w:spacing w:after="160"/>
        <w:ind w:left="720" w:hanging="720"/>
        <w:rPr>
          <w:lang w:val="en-US"/>
        </w:rPr>
      </w:pPr>
      <w:r>
        <w:rPr>
          <w:lang w:val="en-US"/>
        </w:rPr>
        <w:t>Feinstein, C.H., Dobb, M., 1967. Socialism, Capitalism and Economic Growth. Cambridge University Press, Cambridge.</w:t>
      </w:r>
    </w:p>
    <w:p w14:paraId="2C506005" w14:textId="77777777" w:rsidR="00AF1FC9" w:rsidRPr="00AF1FC9" w:rsidRDefault="00AF1FC9" w:rsidP="00AF1FC9">
      <w:pPr>
        <w:spacing w:after="160"/>
        <w:ind w:left="720" w:hanging="720"/>
        <w:rPr>
          <w:lang w:val="en-US"/>
        </w:rPr>
      </w:pPr>
      <w:r>
        <w:rPr>
          <w:lang w:val="en-US"/>
        </w:rPr>
        <w:t>Forrester, J.W., 1977. Growth cycles. De Economist 125, 525–543.</w:t>
      </w:r>
    </w:p>
    <w:p w14:paraId="22806A99" w14:textId="77777777" w:rsidR="00AF1FC9" w:rsidRPr="00AF1FC9" w:rsidRDefault="00AF1FC9" w:rsidP="00AF1FC9">
      <w:pPr>
        <w:spacing w:after="160"/>
        <w:ind w:left="720" w:hanging="720"/>
        <w:rPr>
          <w:lang w:val="en-US"/>
        </w:rPr>
      </w:pPr>
      <w:r>
        <w:rPr>
          <w:lang w:val="en-US"/>
        </w:rPr>
        <w:t>Fourier, J., 1822. Théorie Analytique de la Chaleur. Firmin Didot, Père et Fils, Paris.</w:t>
      </w:r>
    </w:p>
    <w:p w14:paraId="33862DB3" w14:textId="77777777" w:rsidR="00AF1FC9" w:rsidRPr="00AF1FC9" w:rsidRDefault="00AF1FC9" w:rsidP="00AF1FC9">
      <w:pPr>
        <w:spacing w:after="160"/>
        <w:ind w:left="720" w:hanging="720"/>
        <w:rPr>
          <w:lang w:val="en-US"/>
        </w:rPr>
      </w:pPr>
      <w:r>
        <w:rPr>
          <w:lang w:val="en-US"/>
        </w:rPr>
        <w:t>Frisch, R., 1927. The Analysis of Statistical Time Series. Mimeo, Oslo University.</w:t>
      </w:r>
    </w:p>
    <w:p w14:paraId="3D93F5C2" w14:textId="77777777" w:rsidR="00AF1FC9" w:rsidRPr="00AF1FC9" w:rsidRDefault="00AF1FC9" w:rsidP="00AF1FC9">
      <w:pPr>
        <w:spacing w:after="160"/>
        <w:ind w:left="720" w:hanging="720"/>
        <w:rPr>
          <w:lang w:val="en-US"/>
        </w:rPr>
      </w:pPr>
      <w:r>
        <w:rPr>
          <w:lang w:val="en-US"/>
        </w:rPr>
        <w:t>Frisch, R., 1930. Marginal and Limitational Productivity. Lectures at Yale University, Spring Term 1930, mimeo, Oslo University.</w:t>
      </w:r>
    </w:p>
    <w:p w14:paraId="7047E31F" w14:textId="77777777" w:rsidR="00AF1FC9" w:rsidRPr="00AF1FC9" w:rsidRDefault="00AF1FC9" w:rsidP="00AF1FC9">
      <w:pPr>
        <w:spacing w:after="160"/>
        <w:ind w:left="720" w:hanging="720"/>
        <w:rPr>
          <w:lang w:val="en-US"/>
        </w:rPr>
      </w:pPr>
      <w:r>
        <w:rPr>
          <w:lang w:val="en-US"/>
        </w:rPr>
        <w:t>Frisch, R., 1932. Radio lectures, April 13 and 24, and May 12, 1932. Published as 'Konjunkturene', in Verdensøkonomien. Aschehoug, Oslo.</w:t>
      </w:r>
    </w:p>
    <w:p w14:paraId="10E11FB0" w14:textId="77777777" w:rsidR="00AF1FC9" w:rsidRPr="00AF1FC9" w:rsidRDefault="00AF1FC9" w:rsidP="00AF1FC9">
      <w:pPr>
        <w:spacing w:after="160"/>
        <w:ind w:left="720" w:hanging="720"/>
        <w:rPr>
          <w:lang w:val="en-US"/>
        </w:rPr>
      </w:pPr>
      <w:r>
        <w:rPr>
          <w:lang w:val="en-US"/>
        </w:rPr>
        <w:t>Frisch, R., 1933a. Editor's note. Econometrica 1, 1–4.</w:t>
      </w:r>
    </w:p>
    <w:p w14:paraId="27896D7E" w14:textId="77777777" w:rsidR="00AF1FC9" w:rsidRPr="00AF1FC9" w:rsidRDefault="00AF1FC9" w:rsidP="00AF1FC9">
      <w:pPr>
        <w:spacing w:after="160"/>
        <w:ind w:left="720" w:hanging="720"/>
        <w:rPr>
          <w:lang w:val="en-US"/>
        </w:rPr>
      </w:pPr>
      <w:r>
        <w:rPr>
          <w:lang w:val="en-US"/>
        </w:rPr>
        <w:t>Frisch, R., 1933b. Propagation problems and impulse problems in dynamic economics, in: Economic Essays in Honour of Gustav Cassel. Allen &amp; Unwin, London, pp. 171–205.</w:t>
      </w:r>
    </w:p>
    <w:p w14:paraId="5E3A4A59" w14:textId="77777777" w:rsidR="00AF1FC9" w:rsidRPr="00AF1FC9" w:rsidRDefault="00AF1FC9" w:rsidP="00AF1FC9">
      <w:pPr>
        <w:spacing w:after="160"/>
        <w:ind w:left="720" w:hanging="720"/>
        <w:rPr>
          <w:lang w:val="en-US"/>
        </w:rPr>
      </w:pPr>
      <w:r>
        <w:rPr>
          <w:lang w:val="en-US"/>
        </w:rPr>
        <w:t>Garvy, G., 1943. Kondratieff's theory of long cycles. Review of Economics and Statistics 25, 203–220.</w:t>
      </w:r>
    </w:p>
    <w:p w14:paraId="7D430E6C" w14:textId="77777777" w:rsidR="00AF1FC9" w:rsidRPr="00AF1FC9" w:rsidRDefault="00AF1FC9" w:rsidP="00AF1FC9">
      <w:pPr>
        <w:spacing w:after="160"/>
        <w:ind w:left="720" w:hanging="720"/>
        <w:rPr>
          <w:lang w:val="en-US"/>
        </w:rPr>
      </w:pPr>
      <w:r>
        <w:rPr>
          <w:lang w:val="en-US"/>
        </w:rPr>
        <w:t>Ghys, E., 2007. Resonances and small divisors, in: Kolmogorov's Heritage in Mathematics. Springer, Berlin, pp. 187–213.</w:t>
      </w:r>
    </w:p>
    <w:p w14:paraId="108D3A20" w14:textId="77777777" w:rsidR="00AF1FC9" w:rsidRPr="00AF1FC9" w:rsidRDefault="00AF1FC9" w:rsidP="00AF1FC9">
      <w:pPr>
        <w:spacing w:after="160"/>
        <w:ind w:left="720" w:hanging="720"/>
        <w:rPr>
          <w:lang w:val="en-US"/>
        </w:rPr>
      </w:pPr>
      <w:r>
        <w:rPr>
          <w:lang w:val="en-US"/>
        </w:rPr>
        <w:t>Gidea, M., Meiss, J.D., Ugarcovici, I., Weiss, H., 2011. Applications of KAM theory to population dynamics. Journal of Biological Dynamics 5, 44–63.</w:t>
      </w:r>
    </w:p>
    <w:p w14:paraId="14FB9EE4" w14:textId="77777777" w:rsidR="00AF1FC9" w:rsidRPr="00AF1FC9" w:rsidRDefault="00AF1FC9" w:rsidP="00AF1FC9">
      <w:pPr>
        <w:spacing w:after="160"/>
        <w:ind w:left="720" w:hanging="720"/>
        <w:rPr>
          <w:lang w:val="en-US"/>
        </w:rPr>
      </w:pPr>
      <w:r>
        <w:rPr>
          <w:lang w:val="en-US"/>
        </w:rPr>
        <w:t>Goldstein, J.S., 1988. Long Cycles: Prosperity and War in the Modern Age. Yale University Press, New Haven.</w:t>
      </w:r>
    </w:p>
    <w:p w14:paraId="140B4C53" w14:textId="77777777" w:rsidR="00AF1FC9" w:rsidRPr="00AF1FC9" w:rsidRDefault="00AF1FC9" w:rsidP="00AF1FC9">
      <w:pPr>
        <w:spacing w:after="160"/>
        <w:ind w:left="720" w:hanging="720"/>
        <w:rPr>
          <w:lang w:val="en-US"/>
        </w:rPr>
      </w:pPr>
      <w:r>
        <w:rPr>
          <w:lang w:val="en-US"/>
        </w:rPr>
        <w:t>Goldstein, J.S., 2003. War and economic history. The Oxford Encyclopedia of Economic History 5, 215–218.</w:t>
      </w:r>
    </w:p>
    <w:p w14:paraId="107BC82C" w14:textId="77777777" w:rsidR="00AF1FC9" w:rsidRPr="00AF1FC9" w:rsidRDefault="00AF1FC9" w:rsidP="00AF1FC9">
      <w:pPr>
        <w:spacing w:after="160"/>
        <w:ind w:left="720" w:hanging="720"/>
        <w:rPr>
          <w:lang w:val="en-US"/>
        </w:rPr>
      </w:pPr>
      <w:r>
        <w:rPr>
          <w:lang w:val="en-US"/>
        </w:rPr>
        <w:lastRenderedPageBreak/>
        <w:t>Goldstein, J.S., 2006. The predictive power of long wave theory, 1989–2004. NATO Security through Science Series E: Human and Societal Dynamics 5, 137.</w:t>
      </w:r>
    </w:p>
    <w:p w14:paraId="77BB066A" w14:textId="77777777" w:rsidR="00AF1FC9" w:rsidRPr="00AF1FC9" w:rsidRDefault="00AF1FC9" w:rsidP="00AF1FC9">
      <w:pPr>
        <w:spacing w:after="160"/>
        <w:ind w:left="720" w:hanging="720"/>
        <w:rPr>
          <w:lang w:val="en-US"/>
        </w:rPr>
      </w:pPr>
      <w:r>
        <w:rPr>
          <w:lang w:val="en-US"/>
        </w:rPr>
        <w:t>Goodwin, R., 1951. The nonlinear accelerator and the persistence of business cycles. Econometrica 19, 1–17.</w:t>
      </w:r>
    </w:p>
    <w:p w14:paraId="5CF206D1" w14:textId="77777777" w:rsidR="00AF1FC9" w:rsidRPr="00AF1FC9" w:rsidRDefault="00AF1FC9" w:rsidP="00AF1FC9">
      <w:pPr>
        <w:spacing w:after="160"/>
        <w:ind w:left="720" w:hanging="720"/>
        <w:rPr>
          <w:lang w:val="en-US"/>
        </w:rPr>
      </w:pPr>
      <w:r>
        <w:rPr>
          <w:lang w:val="en-US"/>
        </w:rPr>
        <w:t>Goodwin, R., 1967. A growth cycle, in: Feinstein, C.H. (Ed.), Socialism, Capitalism and Economic Growth. Cambridge University Press, Cambridge.</w:t>
      </w:r>
    </w:p>
    <w:p w14:paraId="4BFC78EF" w14:textId="77777777" w:rsidR="00AF1FC9" w:rsidRPr="00AF1FC9" w:rsidRDefault="00AF1FC9" w:rsidP="00AF1FC9">
      <w:pPr>
        <w:spacing w:after="160"/>
        <w:ind w:left="720" w:hanging="720"/>
        <w:rPr>
          <w:lang w:val="en-US"/>
        </w:rPr>
      </w:pPr>
      <w:r>
        <w:rPr>
          <w:lang w:val="en-US"/>
        </w:rPr>
        <w:t>Greene, J.M., 1979. A method for determining a stochastic transition. Journal of Mathematical Physics 20, 1183–1201.</w:t>
      </w:r>
    </w:p>
    <w:p w14:paraId="2FB85014" w14:textId="77777777" w:rsidR="00AF1FC9" w:rsidRPr="00AF1FC9" w:rsidRDefault="00AF1FC9" w:rsidP="00AF1FC9">
      <w:pPr>
        <w:spacing w:after="160"/>
        <w:ind w:left="720" w:hanging="720"/>
        <w:rPr>
          <w:lang w:val="en-US"/>
        </w:rPr>
      </w:pPr>
      <w:r>
        <w:rPr>
          <w:lang w:val="en-US"/>
        </w:rPr>
        <w:t>Greenwood, J., Hercowitz, Z., Huffman, G.W., 1988. Investment, capacity utilization, and the real business cycle. American Economic Review 78, 402–417.</w:t>
      </w:r>
    </w:p>
    <w:p w14:paraId="4CE4CE48" w14:textId="77777777" w:rsidR="00AF1FC9" w:rsidRPr="00AF1FC9" w:rsidRDefault="00AF1FC9" w:rsidP="00AF1FC9">
      <w:pPr>
        <w:spacing w:after="160"/>
        <w:ind w:left="720" w:hanging="720"/>
        <w:rPr>
          <w:lang w:val="en-US"/>
        </w:rPr>
      </w:pPr>
      <w:r>
        <w:rPr>
          <w:lang w:val="en-US"/>
        </w:rPr>
        <w:t>Grinin, L.E., Korotayev, A.V., 2014. Interaction between Kondratieff waves and Juglar cycles, in: Kondratieff Waves: Cycles, Crises, and Forecasts. Uchitel Publishing House, Volgograd, pp. 25–95.</w:t>
      </w:r>
    </w:p>
    <w:p w14:paraId="00CA70C9" w14:textId="77777777" w:rsidR="00AF1FC9" w:rsidRPr="00AF1FC9" w:rsidRDefault="00AF1FC9" w:rsidP="00AF1FC9">
      <w:pPr>
        <w:spacing w:after="160"/>
        <w:ind w:left="720" w:hanging="720"/>
        <w:rPr>
          <w:lang w:val="en-US"/>
        </w:rPr>
      </w:pPr>
      <w:r>
        <w:rPr>
          <w:lang w:val="en-US"/>
        </w:rPr>
        <w:t>Grinin, L.E., Korotayev, A.V., Malkov, S.Y., 2016. The mathematical model of Juglar cycles and the current global crisis, in: Kondratieff Waves: Cycles, Crises, and Forecasts. Uchitel Publishing House, Volgograd, pp. 14–64.</w:t>
      </w:r>
    </w:p>
    <w:p w14:paraId="71556D37" w14:textId="77777777" w:rsidR="00AF1FC9" w:rsidRPr="00AF1FC9" w:rsidRDefault="00AF1FC9" w:rsidP="00AF1FC9">
      <w:pPr>
        <w:spacing w:after="160"/>
        <w:ind w:left="720" w:hanging="720"/>
        <w:rPr>
          <w:lang w:val="en-US"/>
        </w:rPr>
      </w:pPr>
      <w:r>
        <w:rPr>
          <w:lang w:val="en-US"/>
        </w:rPr>
        <w:t>Grinin, L.E., Grinin, A.L., Korotayev, A., 2017. Forthcoming Kondratieff wave, cybernetic revolution, and global ageing. Technological Forecasting and Social Change 115, 52–68.</w:t>
      </w:r>
    </w:p>
    <w:p w14:paraId="754BB889" w14:textId="77777777" w:rsidR="00AF1FC9" w:rsidRPr="00AF1FC9" w:rsidRDefault="00AF1FC9" w:rsidP="00AF1FC9">
      <w:pPr>
        <w:spacing w:after="160"/>
        <w:ind w:left="720" w:hanging="720"/>
        <w:rPr>
          <w:lang w:val="en-US"/>
        </w:rPr>
      </w:pPr>
      <w:r>
        <w:rPr>
          <w:lang w:val="en-US"/>
        </w:rPr>
        <w:t>Hamilton, J.D., 1989. A new approach to the econometric analysis of nonstationary time series and business cycles. Econometrica 57, 357–384.</w:t>
      </w:r>
    </w:p>
    <w:p w14:paraId="74F3582D" w14:textId="77777777" w:rsidR="00AF1FC9" w:rsidRPr="00AF1FC9" w:rsidRDefault="00AF1FC9" w:rsidP="00AF1FC9">
      <w:pPr>
        <w:spacing w:after="160"/>
        <w:ind w:left="720" w:hanging="720"/>
        <w:rPr>
          <w:lang w:val="en-US"/>
        </w:rPr>
      </w:pPr>
      <w:r>
        <w:rPr>
          <w:lang w:val="en-US"/>
        </w:rPr>
        <w:t>Hassell, M.P., 2000. Host–parasitoid population dynamics. Journal of Animal Ecology 69, 543–566.</w:t>
      </w:r>
    </w:p>
    <w:p w14:paraId="368AB2A8" w14:textId="77777777" w:rsidR="00AF1FC9" w:rsidRPr="00AF1FC9" w:rsidRDefault="00AF1FC9" w:rsidP="00AF1FC9">
      <w:pPr>
        <w:spacing w:after="160"/>
        <w:ind w:left="720" w:hanging="720"/>
        <w:rPr>
          <w:lang w:val="en-US"/>
        </w:rPr>
      </w:pPr>
      <w:r>
        <w:rPr>
          <w:lang w:val="en-US"/>
        </w:rPr>
        <w:t>Haustein, H.-D., Neuwirth, E., 1982. Long waves in world industrial production, energy consumption, innovations, inventions, and patents and their identification by spectral analysis. Technological Forecasting and Social Change 22, 53–89.</w:t>
      </w:r>
    </w:p>
    <w:p w14:paraId="01F497B3" w14:textId="77777777" w:rsidR="00AF1FC9" w:rsidRPr="00AF1FC9" w:rsidRDefault="00AF1FC9" w:rsidP="00AF1FC9">
      <w:pPr>
        <w:spacing w:after="160"/>
        <w:ind w:left="720" w:hanging="720"/>
        <w:rPr>
          <w:lang w:val="en-US"/>
        </w:rPr>
      </w:pPr>
      <w:r>
        <w:rPr>
          <w:lang w:val="en-US"/>
        </w:rPr>
        <w:t>Hayek, F.A., 1929. Geldtheorie und Konjunkturtheorie. Hölder-Pichler-Tempsky, Vienna.</w:t>
      </w:r>
    </w:p>
    <w:p w14:paraId="1F6C5824" w14:textId="77777777" w:rsidR="00AF1FC9" w:rsidRPr="00AF1FC9" w:rsidRDefault="00AF1FC9" w:rsidP="00AF1FC9">
      <w:pPr>
        <w:spacing w:after="160"/>
        <w:ind w:left="720" w:hanging="720"/>
        <w:rPr>
          <w:lang w:val="en-US"/>
        </w:rPr>
      </w:pPr>
      <w:r>
        <w:rPr>
          <w:lang w:val="en-US"/>
        </w:rPr>
        <w:t>Hirshleifer, J., 1977. Economics from a biological point of view. Journal of Law and Economics 20, 1–52.</w:t>
      </w:r>
    </w:p>
    <w:p w14:paraId="1A7E13B5" w14:textId="77777777" w:rsidR="00AF1FC9" w:rsidRPr="00AF1FC9" w:rsidRDefault="00AF1FC9" w:rsidP="00AF1FC9">
      <w:pPr>
        <w:spacing w:after="160"/>
        <w:ind w:left="720" w:hanging="720"/>
        <w:rPr>
          <w:lang w:val="en-US"/>
        </w:rPr>
      </w:pPr>
      <w:r>
        <w:rPr>
          <w:lang w:val="en-US"/>
        </w:rPr>
        <w:t>Hirshleifer, J., 1978. Competition, cooperation, and conflict in economics and biology. American Economic Review 68, 238–243.</w:t>
      </w:r>
    </w:p>
    <w:p w14:paraId="71C6BAD4" w14:textId="77777777" w:rsidR="00AF1FC9" w:rsidRPr="00AF1FC9" w:rsidRDefault="00AF1FC9" w:rsidP="00AF1FC9">
      <w:pPr>
        <w:spacing w:after="160"/>
        <w:ind w:left="720" w:hanging="720"/>
        <w:rPr>
          <w:lang w:val="en-US"/>
        </w:rPr>
      </w:pPr>
      <w:r>
        <w:rPr>
          <w:lang w:val="en-US"/>
        </w:rPr>
        <w:t>Howe, N., Strauss, W., 2000. Millennials Rising: The Next Great Generation. Vintage Books, New York.</w:t>
      </w:r>
    </w:p>
    <w:p w14:paraId="6FFA3A11" w14:textId="77777777" w:rsidR="00AF1FC9" w:rsidRPr="00AF1FC9" w:rsidRDefault="00AF1FC9" w:rsidP="00AF1FC9">
      <w:pPr>
        <w:spacing w:after="160"/>
        <w:ind w:left="720" w:hanging="720"/>
        <w:rPr>
          <w:lang w:val="en-US"/>
        </w:rPr>
      </w:pPr>
      <w:r>
        <w:rPr>
          <w:lang w:val="en-US"/>
        </w:rPr>
        <w:t>Juglar, C., 1862. Des Crises Commerciales et leur Retour Périodique en France, en Angleterre, et aux Etats-Unis. Guillaumin, Paris.</w:t>
      </w:r>
    </w:p>
    <w:p w14:paraId="6D92A379" w14:textId="77777777" w:rsidR="00AF1FC9" w:rsidRPr="00AF1FC9" w:rsidRDefault="00AF1FC9" w:rsidP="00AF1FC9">
      <w:pPr>
        <w:spacing w:after="160"/>
        <w:ind w:left="720" w:hanging="720"/>
        <w:rPr>
          <w:lang w:val="en-US"/>
        </w:rPr>
      </w:pPr>
      <w:r>
        <w:rPr>
          <w:lang w:val="en-US"/>
        </w:rPr>
        <w:t>Justiniano, A., Primiceri, G.E., Tambalotti, A., 2010. Investment shocks and business cycles. Journal of Monetary Economics 57, 132–145.</w:t>
      </w:r>
    </w:p>
    <w:p w14:paraId="2D963831" w14:textId="77777777" w:rsidR="00AF1FC9" w:rsidRPr="00AF1FC9" w:rsidRDefault="00AF1FC9" w:rsidP="00AF1FC9">
      <w:pPr>
        <w:spacing w:after="160"/>
        <w:ind w:left="720" w:hanging="720"/>
        <w:rPr>
          <w:lang w:val="en-US"/>
        </w:rPr>
      </w:pPr>
      <w:r>
        <w:rPr>
          <w:lang w:val="en-US"/>
        </w:rPr>
        <w:t>Keeler, J.P., 2001. Empirical evidence on the Austrian business cycle theory. Review of Austrian Economics 14, 331–351.</w:t>
      </w:r>
    </w:p>
    <w:p w14:paraId="76F6848B" w14:textId="77777777" w:rsidR="00AF1FC9" w:rsidRPr="00AF1FC9" w:rsidRDefault="00AF1FC9" w:rsidP="00AF1FC9">
      <w:pPr>
        <w:spacing w:after="160"/>
        <w:ind w:left="720" w:hanging="720"/>
        <w:rPr>
          <w:lang w:val="en-US"/>
        </w:rPr>
      </w:pPr>
      <w:r>
        <w:rPr>
          <w:lang w:val="en-US"/>
        </w:rPr>
        <w:t>Keynes, J.M., 1936. The General Theory of Employment, Interest, and Money. Macmillan, London.</w:t>
      </w:r>
    </w:p>
    <w:p w14:paraId="6A47B30B" w14:textId="77777777" w:rsidR="00AF1FC9" w:rsidRPr="00AF1FC9" w:rsidRDefault="00AF1FC9" w:rsidP="00AF1FC9">
      <w:pPr>
        <w:spacing w:after="160"/>
        <w:ind w:left="720" w:hanging="720"/>
        <w:rPr>
          <w:lang w:val="en-US"/>
        </w:rPr>
      </w:pPr>
      <w:r>
        <w:rPr>
          <w:lang w:val="en-US"/>
        </w:rPr>
        <w:t>King, R.G., Plosser, C.I., Stock, J.H., Watson, M.W., 1991. Stochastic trends and economic fluctuations. American Economic Review 81, 819–840.</w:t>
      </w:r>
    </w:p>
    <w:p w14:paraId="5BAC9239" w14:textId="77777777" w:rsidR="00AF1FC9" w:rsidRPr="00AF1FC9" w:rsidRDefault="00AF1FC9" w:rsidP="00AF1FC9">
      <w:pPr>
        <w:spacing w:after="160"/>
        <w:ind w:left="720" w:hanging="720"/>
        <w:rPr>
          <w:lang w:val="en-US"/>
        </w:rPr>
      </w:pPr>
      <w:r>
        <w:rPr>
          <w:lang w:val="en-US"/>
        </w:rPr>
        <w:t>Kitchin, J., 1923. Cycles and trends in economic factors. Review of Economics and Statistics 5, 10–16.</w:t>
      </w:r>
    </w:p>
    <w:p w14:paraId="06727DC3" w14:textId="77777777" w:rsidR="00AF1FC9" w:rsidRPr="00EE62B6" w:rsidRDefault="00AF1FC9" w:rsidP="00AF1FC9">
      <w:pPr>
        <w:spacing w:after="160"/>
        <w:ind w:left="720" w:hanging="720"/>
        <w:rPr>
          <w:lang w:val="en-US"/>
        </w:rPr>
      </w:pPr>
      <w:r>
        <w:rPr>
          <w:lang w:val="en-US"/>
        </w:rPr>
        <w:t xml:space="preserve">Klein, J.L., 1997. Statistical Visions in Time: A History of Time Series Analysis, 1662–1938. </w:t>
      </w:r>
      <w:r w:rsidRPr="00EE62B6">
        <w:rPr>
          <w:lang w:val="en-US"/>
        </w:rPr>
        <w:t>Cambridge University Press, Cambridge.</w:t>
      </w:r>
    </w:p>
    <w:p w14:paraId="714F4846" w14:textId="77777777" w:rsidR="00AF1FC9" w:rsidRDefault="00AF1FC9" w:rsidP="00AF1FC9">
      <w:pPr>
        <w:spacing w:after="160"/>
        <w:ind w:left="720" w:hanging="720"/>
      </w:pPr>
      <w:r>
        <w:rPr>
          <w:lang w:val="en-US"/>
        </w:rPr>
        <w:lastRenderedPageBreak/>
        <w:t xml:space="preserve">Kolmogorov, A.N., 1954. On the conservation of conditionally periodic motions under small perturbation of the Hamiltonian. </w:t>
      </w:r>
      <w:r>
        <w:t>Doklady Akademii Nauk SSSR 98, 527–530.</w:t>
      </w:r>
    </w:p>
    <w:p w14:paraId="0994AC9B" w14:textId="77777777" w:rsidR="00AF1FC9" w:rsidRDefault="00AF1FC9" w:rsidP="00AF1FC9">
      <w:pPr>
        <w:spacing w:after="160"/>
        <w:ind w:left="720" w:hanging="720"/>
      </w:pPr>
      <w:r>
        <w:t>Kondratieff, N., 1926. Die langen Wellen der Konjunktur. Archiv für Sozialwissenschaft und Sozialpolitik 56, 573–609.</w:t>
      </w:r>
    </w:p>
    <w:p w14:paraId="27AE5D7F" w14:textId="77777777" w:rsidR="00AF1FC9" w:rsidRDefault="00AF1FC9" w:rsidP="00AF1FC9">
      <w:pPr>
        <w:spacing w:after="160"/>
        <w:ind w:left="720" w:hanging="720"/>
      </w:pPr>
      <w:r>
        <w:t>Kondratieff, N., 1928. Die Preisdynamik der industriellen und landwirtschaftlichen Waren. Archiv für Sozialwissenschaft und Sozialpolitik 60, 1–34.</w:t>
      </w:r>
    </w:p>
    <w:p w14:paraId="6745AAE6" w14:textId="77777777" w:rsidR="00AF1FC9" w:rsidRPr="00AF1FC9" w:rsidRDefault="00AF1FC9" w:rsidP="00AF1FC9">
      <w:pPr>
        <w:spacing w:after="160"/>
        <w:ind w:left="720" w:hanging="720"/>
        <w:rPr>
          <w:lang w:val="en-US"/>
        </w:rPr>
      </w:pPr>
      <w:r>
        <w:t xml:space="preserve">Korotayev, A.V., Tsirel, S.V., 2010. </w:t>
      </w:r>
      <w:r>
        <w:rPr>
          <w:lang w:val="en-US"/>
        </w:rPr>
        <w:t>A spectral analysis of world GDP dynamics: Kondratieff waves, Kuznets swings, Juglar and Kitchin cycles in global economic development, and the 2008–2009 economic crisis. Structure and Dynamics 4.</w:t>
      </w:r>
    </w:p>
    <w:p w14:paraId="76BA2A9E" w14:textId="77777777" w:rsidR="00AF1FC9" w:rsidRPr="00AF1FC9" w:rsidRDefault="00AF1FC9" w:rsidP="00AF1FC9">
      <w:pPr>
        <w:spacing w:after="160"/>
        <w:ind w:left="720" w:hanging="720"/>
        <w:rPr>
          <w:lang w:val="en-US"/>
        </w:rPr>
      </w:pPr>
      <w:r>
        <w:rPr>
          <w:lang w:val="en-US"/>
        </w:rPr>
        <w:t>Kuczynski, T., 1978. Spectral analysis and cluster analysis as mathematical methods for the periodization of historical processes, in: Proceedings of the Seventh International Economic History Congress, Vol. 2, pp. 79–86.</w:t>
      </w:r>
    </w:p>
    <w:p w14:paraId="5F01F345" w14:textId="77777777" w:rsidR="00AF1FC9" w:rsidRPr="00AF1FC9" w:rsidRDefault="00AF1FC9" w:rsidP="00AF1FC9">
      <w:pPr>
        <w:spacing w:after="160"/>
        <w:ind w:left="720" w:hanging="720"/>
        <w:rPr>
          <w:lang w:val="en-US"/>
        </w:rPr>
      </w:pPr>
      <w:r>
        <w:rPr>
          <w:lang w:val="en-US"/>
        </w:rPr>
        <w:t>Kuznets, S., 1930. Secular Movements in Production and Prices, their Nature and their Bearing upon Cyclical Fluctuations. Houghton Mifflin, Boston.</w:t>
      </w:r>
    </w:p>
    <w:p w14:paraId="68DE9247" w14:textId="77777777" w:rsidR="00AF1FC9" w:rsidRPr="00AF1FC9" w:rsidRDefault="00AF1FC9" w:rsidP="00AF1FC9">
      <w:pPr>
        <w:spacing w:after="160"/>
        <w:ind w:left="720" w:hanging="720"/>
        <w:rPr>
          <w:lang w:val="en-US"/>
        </w:rPr>
      </w:pPr>
      <w:r>
        <w:rPr>
          <w:lang w:val="en-US"/>
        </w:rPr>
        <w:t>Kydland, F.E., Prescott, E.C., 1982. Time to build and aggregate fluctuations. Econometrica 50, 1345–1370.</w:t>
      </w:r>
    </w:p>
    <w:p w14:paraId="3D9EA36E" w14:textId="77777777" w:rsidR="00AF1FC9" w:rsidRPr="00AF1FC9" w:rsidRDefault="00AF1FC9" w:rsidP="00AF1FC9">
      <w:pPr>
        <w:spacing w:after="160"/>
        <w:ind w:left="720" w:hanging="720"/>
        <w:rPr>
          <w:lang w:val="en-US"/>
        </w:rPr>
      </w:pPr>
      <w:r>
        <w:rPr>
          <w:lang w:val="en-US"/>
        </w:rPr>
        <w:t>Larsen, E.R., Haxholdt, C., 1997. Mode-locking in a forced business cycle. Technological Forecasting and Social Change 56, 119–130.</w:t>
      </w:r>
    </w:p>
    <w:p w14:paraId="09F0938C" w14:textId="77777777" w:rsidR="00AF1FC9" w:rsidRPr="00AF1FC9" w:rsidRDefault="00AF1FC9" w:rsidP="00AF1FC9">
      <w:pPr>
        <w:spacing w:after="160"/>
        <w:ind w:left="720" w:hanging="720"/>
        <w:rPr>
          <w:lang w:val="en-US"/>
        </w:rPr>
      </w:pPr>
      <w:r>
        <w:rPr>
          <w:lang w:val="en-US"/>
        </w:rPr>
        <w:t>Lauwerier, H.A., Metz, J.A.J., 1986. Hopf bifurcation in host–parasitoid models. Mathematical Medicine and Biology 3, 191–210.</w:t>
      </w:r>
    </w:p>
    <w:p w14:paraId="6D591A81" w14:textId="77777777" w:rsidR="00AF1FC9" w:rsidRPr="00AF1FC9" w:rsidRDefault="00AF1FC9" w:rsidP="00AF1FC9">
      <w:pPr>
        <w:spacing w:after="160"/>
        <w:ind w:left="720" w:hanging="720"/>
        <w:rPr>
          <w:lang w:val="en-US"/>
        </w:rPr>
      </w:pPr>
      <w:r>
        <w:rPr>
          <w:lang w:val="en-US"/>
        </w:rPr>
        <w:t>Linstone, H.A., 2006. The information and molecular ages: will K-waves persist? NATO Security through Science Series E: Human and Societal Dynamics 5, 260.</w:t>
      </w:r>
    </w:p>
    <w:p w14:paraId="0E5AACFE" w14:textId="77777777" w:rsidR="00AF1FC9" w:rsidRPr="00AF1FC9" w:rsidRDefault="00AF1FC9" w:rsidP="00AF1FC9">
      <w:pPr>
        <w:spacing w:after="160"/>
        <w:ind w:left="720" w:hanging="720"/>
        <w:rPr>
          <w:lang w:val="en-US"/>
        </w:rPr>
      </w:pPr>
      <w:r>
        <w:rPr>
          <w:lang w:val="en-US"/>
        </w:rPr>
        <w:t>Löosch, A., 1937. Population cycles as a cause of business cycles. Quarterly Journal of Economics 51, 649–662.</w:t>
      </w:r>
    </w:p>
    <w:p w14:paraId="47AB55EE" w14:textId="77777777" w:rsidR="00AF1FC9" w:rsidRPr="00AF1FC9" w:rsidRDefault="00AF1FC9" w:rsidP="00AF1FC9">
      <w:pPr>
        <w:spacing w:after="160"/>
        <w:ind w:left="720" w:hanging="720"/>
        <w:rPr>
          <w:lang w:val="en-US"/>
        </w:rPr>
      </w:pPr>
      <w:r>
        <w:rPr>
          <w:lang w:val="en-US"/>
        </w:rPr>
        <w:t>Louçã, F., 2007. The Years of High Econometrics: A Short History of the Generation that Reinvented Economics. Routledge, London.</w:t>
      </w:r>
    </w:p>
    <w:p w14:paraId="130C5425" w14:textId="77777777" w:rsidR="00AF1FC9" w:rsidRPr="00AF1FC9" w:rsidRDefault="00AF1FC9" w:rsidP="00AF1FC9">
      <w:pPr>
        <w:spacing w:after="160"/>
        <w:ind w:left="720" w:hanging="720"/>
        <w:rPr>
          <w:lang w:val="en-US"/>
        </w:rPr>
      </w:pPr>
      <w:r>
        <w:rPr>
          <w:lang w:val="en-US"/>
        </w:rPr>
        <w:t>Mandel, E., 1995. Long Waves of Capitalist Development: A Marxist Interpretation. Verso, London.</w:t>
      </w:r>
    </w:p>
    <w:p w14:paraId="5B04CA42" w14:textId="77777777" w:rsidR="00AF1FC9" w:rsidRPr="00AF1FC9" w:rsidRDefault="00AF1FC9" w:rsidP="00AF1FC9">
      <w:pPr>
        <w:spacing w:after="160"/>
        <w:ind w:left="720" w:hanging="720"/>
        <w:rPr>
          <w:lang w:val="en-US"/>
        </w:rPr>
      </w:pPr>
      <w:r>
        <w:rPr>
          <w:lang w:val="en-US"/>
        </w:rPr>
        <w:t>Mankiw, N.G., 1989. Real business cycles: a new Keynesian perspective. Journal of Economic Perspectives 3, 79–90.</w:t>
      </w:r>
    </w:p>
    <w:p w14:paraId="61D0365E" w14:textId="77777777" w:rsidR="00AF1FC9" w:rsidRPr="00AF1FC9" w:rsidRDefault="00AF1FC9" w:rsidP="00AF1FC9">
      <w:pPr>
        <w:spacing w:after="160"/>
        <w:ind w:left="720" w:hanging="720"/>
        <w:rPr>
          <w:lang w:val="en-US"/>
        </w:rPr>
      </w:pPr>
      <w:r>
        <w:rPr>
          <w:lang w:val="en-US"/>
        </w:rPr>
        <w:t>Marchetti, C., 1980. Society as a learning system: discovery, invention, and innovation cycles revisited. Technological Forecasting and Social Change 18, 267–282.</w:t>
      </w:r>
    </w:p>
    <w:p w14:paraId="0BC29FAD" w14:textId="77777777" w:rsidR="00AF1FC9" w:rsidRPr="00AF1FC9" w:rsidRDefault="00AF1FC9" w:rsidP="00AF1FC9">
      <w:pPr>
        <w:spacing w:after="160"/>
        <w:ind w:left="720" w:hanging="720"/>
        <w:rPr>
          <w:lang w:val="en-US"/>
        </w:rPr>
      </w:pPr>
      <w:r>
        <w:rPr>
          <w:lang w:val="en-US"/>
        </w:rPr>
        <w:t>Marx, K., 1867. Das Kapital: Kritik der Politischen Ökonomie. Verlag von Otto Meisner, Hamburg.</w:t>
      </w:r>
    </w:p>
    <w:p w14:paraId="44745610" w14:textId="77777777" w:rsidR="00AF1FC9" w:rsidRPr="00AF1FC9" w:rsidRDefault="00AF1FC9" w:rsidP="00AF1FC9">
      <w:pPr>
        <w:spacing w:after="160"/>
        <w:ind w:left="720" w:hanging="720"/>
        <w:rPr>
          <w:lang w:val="en-US"/>
        </w:rPr>
      </w:pPr>
      <w:r>
        <w:rPr>
          <w:lang w:val="en-US"/>
        </w:rPr>
        <w:t>May, R.M., 1978. Host-parasitoid systems in patchy environments: a phenomenological model. Journal of Animal Ecology 47, 833–844.</w:t>
      </w:r>
    </w:p>
    <w:p w14:paraId="3E166FB7" w14:textId="77777777" w:rsidR="00AF1FC9" w:rsidRPr="00AF1FC9" w:rsidRDefault="00AF1FC9" w:rsidP="00AF1FC9">
      <w:pPr>
        <w:spacing w:after="160"/>
        <w:ind w:left="720" w:hanging="720"/>
        <w:rPr>
          <w:lang w:val="en-US"/>
        </w:rPr>
      </w:pPr>
      <w:r>
        <w:rPr>
          <w:lang w:val="en-US"/>
        </w:rPr>
        <w:t>Mitchell, W., 1927. Business Cycles: The Problem and its Setting. National Bureau of Economic Research, New York.</w:t>
      </w:r>
    </w:p>
    <w:p w14:paraId="7DC89964" w14:textId="77777777" w:rsidR="00AF1FC9" w:rsidRPr="00AF1FC9" w:rsidRDefault="00AF1FC9" w:rsidP="00AF1FC9">
      <w:pPr>
        <w:spacing w:after="160"/>
        <w:ind w:left="720" w:hanging="720"/>
        <w:rPr>
          <w:lang w:val="en-US"/>
        </w:rPr>
      </w:pPr>
      <w:r>
        <w:rPr>
          <w:lang w:val="en-US"/>
        </w:rPr>
        <w:t>Mitchell, W.C., Burns, A.F., 1938. Statistical Indicators of Cyclical Revivals. National Bureau of Economic Research, New York.</w:t>
      </w:r>
    </w:p>
    <w:p w14:paraId="13B19056" w14:textId="77777777" w:rsidR="00AF1FC9" w:rsidRPr="00AF1FC9" w:rsidRDefault="00AF1FC9" w:rsidP="00AF1FC9">
      <w:pPr>
        <w:spacing w:after="160"/>
        <w:ind w:left="720" w:hanging="720"/>
        <w:rPr>
          <w:lang w:val="en-US"/>
        </w:rPr>
      </w:pPr>
      <w:r>
        <w:rPr>
          <w:lang w:val="en-US"/>
        </w:rPr>
        <w:t>Modelski, G., 1978. The long cycle of global politics and the nation-state. Comparative Studies in Society and History 20, 214–235.</w:t>
      </w:r>
    </w:p>
    <w:p w14:paraId="1DFAE23A" w14:textId="77777777" w:rsidR="00AF1FC9" w:rsidRPr="00AF1FC9" w:rsidRDefault="00AF1FC9" w:rsidP="00AF1FC9">
      <w:pPr>
        <w:spacing w:after="160"/>
        <w:ind w:left="720" w:hanging="720"/>
        <w:rPr>
          <w:lang w:val="en-US"/>
        </w:rPr>
      </w:pPr>
      <w:r>
        <w:rPr>
          <w:lang w:val="en-US"/>
        </w:rPr>
        <w:t>Modelski, G., 2006. Global political evolution, long cycles, and K-waves. NATO Security through Science Series E: Human and Societal Dynamics 5, 293–302.</w:t>
      </w:r>
    </w:p>
    <w:p w14:paraId="3CC57A47" w14:textId="77777777" w:rsidR="00AF1FC9" w:rsidRPr="00AF1FC9" w:rsidRDefault="00AF1FC9" w:rsidP="00AF1FC9">
      <w:pPr>
        <w:spacing w:after="160"/>
        <w:ind w:left="720" w:hanging="720"/>
        <w:rPr>
          <w:lang w:val="en-US"/>
        </w:rPr>
      </w:pPr>
      <w:r>
        <w:rPr>
          <w:lang w:val="en-US"/>
        </w:rPr>
        <w:lastRenderedPageBreak/>
        <w:t>Modelski, G., Thompson, W.R., 1988. Seapowers in Global Politics, 1494–1993. Macmillan, London.</w:t>
      </w:r>
    </w:p>
    <w:p w14:paraId="7EF0B9E6" w14:textId="77777777" w:rsidR="00AF1FC9" w:rsidRPr="00AF1FC9" w:rsidRDefault="00AF1FC9" w:rsidP="00AF1FC9">
      <w:pPr>
        <w:spacing w:after="160"/>
        <w:ind w:left="720" w:hanging="720"/>
        <w:rPr>
          <w:lang w:val="en-US"/>
        </w:rPr>
      </w:pPr>
      <w:r>
        <w:rPr>
          <w:lang w:val="en-US"/>
        </w:rPr>
        <w:t>Modis, T., 1999. Technological forecasting at the stock market. Technological Forecasting and Social Change 62, 173–202.</w:t>
      </w:r>
    </w:p>
    <w:p w14:paraId="7418B106" w14:textId="77777777" w:rsidR="00AF1FC9" w:rsidRPr="00AF1FC9" w:rsidRDefault="00AF1FC9" w:rsidP="00AF1FC9">
      <w:pPr>
        <w:spacing w:after="160"/>
        <w:ind w:left="720" w:hanging="720"/>
        <w:rPr>
          <w:lang w:val="en-US"/>
        </w:rPr>
      </w:pPr>
      <w:r>
        <w:rPr>
          <w:lang w:val="en-US"/>
        </w:rPr>
        <w:t>Moore, H.L., 1914. Economic Cycles: Their Law and Cause. Macmillan, New York.</w:t>
      </w:r>
    </w:p>
    <w:p w14:paraId="724C38C6" w14:textId="77777777" w:rsidR="00AF1FC9" w:rsidRPr="00AF1FC9" w:rsidRDefault="00AF1FC9" w:rsidP="00AF1FC9">
      <w:pPr>
        <w:spacing w:after="160"/>
        <w:ind w:left="720" w:hanging="720"/>
        <w:rPr>
          <w:lang w:val="en-US"/>
        </w:rPr>
      </w:pPr>
      <w:r>
        <w:rPr>
          <w:lang w:val="en-US"/>
        </w:rPr>
        <w:t>Moore, H.L., 1923. Generating Economic Cycles. The Macmillan Company, New York.</w:t>
      </w:r>
    </w:p>
    <w:p w14:paraId="712AFF09" w14:textId="77777777" w:rsidR="00AF1FC9" w:rsidRPr="00AF1FC9" w:rsidRDefault="00AF1FC9" w:rsidP="00AF1FC9">
      <w:pPr>
        <w:spacing w:after="160"/>
        <w:ind w:left="720" w:hanging="720"/>
        <w:rPr>
          <w:lang w:val="en-US"/>
        </w:rPr>
      </w:pPr>
      <w:r>
        <w:t xml:space="preserve">Mosekilde, E., Larsen, E.R., Sterman, J.D., Thomsen, J.S., 1992. </w:t>
      </w:r>
      <w:r>
        <w:rPr>
          <w:lang w:val="en-US"/>
        </w:rPr>
        <w:t>Stability through cycles. Annals of Operations Research 37, 185–215.</w:t>
      </w:r>
    </w:p>
    <w:p w14:paraId="1986E6E5" w14:textId="77777777" w:rsidR="00AF1FC9" w:rsidRDefault="00AF1FC9" w:rsidP="00AF1FC9">
      <w:pPr>
        <w:spacing w:after="160"/>
        <w:ind w:left="720" w:hanging="720"/>
      </w:pPr>
      <w:r>
        <w:rPr>
          <w:lang w:val="en-US"/>
        </w:rPr>
        <w:t xml:space="preserve">Möser, J., 1962. On invariant curves of area-preserving mappings of an annulus. </w:t>
      </w:r>
      <w:r>
        <w:t>Nachrichten der Akademie der Wissenschaften in Göttingen, Mathematisch-Physikalische Klasse II, 1–20.</w:t>
      </w:r>
    </w:p>
    <w:p w14:paraId="6754A4F3" w14:textId="77777777" w:rsidR="00AF1FC9" w:rsidRPr="00AF1FC9" w:rsidRDefault="00AF1FC9" w:rsidP="00AF1FC9">
      <w:pPr>
        <w:spacing w:after="160"/>
        <w:ind w:left="720" w:hanging="720"/>
        <w:rPr>
          <w:lang w:val="en-US"/>
        </w:rPr>
      </w:pPr>
      <w:r>
        <w:rPr>
          <w:lang w:val="en-US"/>
        </w:rPr>
        <w:t>Organski, A.F.K., 1958. World Politics. Knopf, New York.</w:t>
      </w:r>
    </w:p>
    <w:p w14:paraId="3548DC3D" w14:textId="77777777" w:rsidR="00AF1FC9" w:rsidRDefault="00AF1FC9" w:rsidP="00AF1FC9">
      <w:pPr>
        <w:spacing w:after="160"/>
        <w:ind w:left="720" w:hanging="720"/>
      </w:pPr>
      <w:r>
        <w:rPr>
          <w:lang w:val="en-US"/>
        </w:rPr>
        <w:t xml:space="preserve">Reijnders, J., 1990. Long Waves in Economic Development. </w:t>
      </w:r>
      <w:r>
        <w:t>Edward Elgar, Cheltenham.</w:t>
      </w:r>
    </w:p>
    <w:p w14:paraId="4735E175" w14:textId="77777777" w:rsidR="00AF1FC9" w:rsidRPr="00AF1FC9" w:rsidRDefault="00AF1FC9" w:rsidP="00AF1FC9">
      <w:pPr>
        <w:spacing w:after="160"/>
        <w:ind w:left="720" w:hanging="720"/>
        <w:rPr>
          <w:lang w:val="en-US"/>
        </w:rPr>
      </w:pPr>
      <w:r>
        <w:t xml:space="preserve">Reijnders, J., 2006. </w:t>
      </w:r>
      <w:r>
        <w:rPr>
          <w:lang w:val="en-US"/>
        </w:rPr>
        <w:t>Did World War II reset the 'rhythm' of the Kondratieff wave? Kondratieff Waves, Warfare and World Security, 145–152.</w:t>
      </w:r>
    </w:p>
    <w:p w14:paraId="79172269" w14:textId="77777777" w:rsidR="00AF1FC9" w:rsidRPr="00AF1FC9" w:rsidRDefault="00AF1FC9" w:rsidP="00AF1FC9">
      <w:pPr>
        <w:spacing w:after="160"/>
        <w:ind w:left="720" w:hanging="720"/>
        <w:rPr>
          <w:lang w:val="en-US"/>
        </w:rPr>
      </w:pPr>
      <w:r>
        <w:rPr>
          <w:lang w:val="en-US"/>
        </w:rPr>
        <w:t>Rothbard, M.N., 1972. America's Great Depression. Ludwig von Mises Institute, Auburn.</w:t>
      </w:r>
    </w:p>
    <w:p w14:paraId="07901F58" w14:textId="77777777" w:rsidR="00AF1FC9" w:rsidRPr="00AF1FC9" w:rsidRDefault="00AF1FC9" w:rsidP="00AF1FC9">
      <w:pPr>
        <w:spacing w:after="160"/>
        <w:ind w:left="720" w:hanging="720"/>
        <w:rPr>
          <w:lang w:val="en-US"/>
        </w:rPr>
      </w:pPr>
      <w:r>
        <w:rPr>
          <w:lang w:val="en-US"/>
        </w:rPr>
        <w:t xml:space="preserve">Salerno, J.T., 2012. A reformulation of Austrian business cycle theory </w:t>
      </w:r>
      <w:proofErr w:type="gramStart"/>
      <w:r>
        <w:rPr>
          <w:lang w:val="en-US"/>
        </w:rPr>
        <w:t>in light of</w:t>
      </w:r>
      <w:proofErr w:type="gramEnd"/>
      <w:r>
        <w:rPr>
          <w:lang w:val="en-US"/>
        </w:rPr>
        <w:t xml:space="preserve"> the financial crisis. Quarterly Journal of Austrian Economics 15, 3–44.</w:t>
      </w:r>
    </w:p>
    <w:p w14:paraId="3F0F168F" w14:textId="77777777" w:rsidR="00AF1FC9" w:rsidRPr="00AF1FC9" w:rsidRDefault="00AF1FC9" w:rsidP="00AF1FC9">
      <w:pPr>
        <w:spacing w:after="160"/>
        <w:ind w:left="720" w:hanging="720"/>
        <w:rPr>
          <w:lang w:val="en-US"/>
        </w:rPr>
      </w:pPr>
      <w:r>
        <w:rPr>
          <w:lang w:val="en-US"/>
        </w:rPr>
        <w:t xml:space="preserve">Sanidas, E., 2014. Four harmonic cycles explain and predict commodity currencies' wide </w:t>
      </w:r>
      <w:proofErr w:type="gramStart"/>
      <w:r>
        <w:rPr>
          <w:lang w:val="en-US"/>
        </w:rPr>
        <w:t>long term</w:t>
      </w:r>
      <w:proofErr w:type="gramEnd"/>
      <w:r>
        <w:rPr>
          <w:lang w:val="en-US"/>
        </w:rPr>
        <w:t xml:space="preserve"> fluctuations. Technological Forecasting and Social Change 87, 135–151.</w:t>
      </w:r>
    </w:p>
    <w:p w14:paraId="40E15081" w14:textId="77777777" w:rsidR="00AF1FC9" w:rsidRPr="00AF1FC9" w:rsidRDefault="00AF1FC9" w:rsidP="00AF1FC9">
      <w:pPr>
        <w:spacing w:after="160"/>
        <w:ind w:left="720" w:hanging="720"/>
        <w:rPr>
          <w:lang w:val="en-US"/>
        </w:rPr>
      </w:pPr>
      <w:r>
        <w:rPr>
          <w:lang w:val="en-US"/>
        </w:rPr>
        <w:t>Schumpeter, J.A., 1939. Business Cycles: A Theoretical, Historical and Statistical Analysis of the Capitalist Process. McGraw-Hill, New York.</w:t>
      </w:r>
    </w:p>
    <w:p w14:paraId="1EDA3590" w14:textId="77777777" w:rsidR="00AF1FC9" w:rsidRPr="00AF1FC9" w:rsidRDefault="00AF1FC9" w:rsidP="00AF1FC9">
      <w:pPr>
        <w:spacing w:after="160"/>
        <w:ind w:left="720" w:hanging="720"/>
        <w:rPr>
          <w:lang w:val="en-US"/>
        </w:rPr>
      </w:pPr>
      <w:r>
        <w:rPr>
          <w:lang w:val="en-US"/>
        </w:rPr>
        <w:t>Slutzky, E., 1937. The summation of random causes as the source of cyclic processes. Econometrica 5, 105–146.</w:t>
      </w:r>
    </w:p>
    <w:p w14:paraId="3445A0D7" w14:textId="77777777" w:rsidR="00AF1FC9" w:rsidRPr="00AF1FC9" w:rsidRDefault="00AF1FC9" w:rsidP="00AF1FC9">
      <w:pPr>
        <w:spacing w:after="160"/>
        <w:ind w:left="720" w:hanging="720"/>
        <w:rPr>
          <w:lang w:val="en-US"/>
        </w:rPr>
      </w:pPr>
      <w:r>
        <w:rPr>
          <w:lang w:val="en-US"/>
        </w:rPr>
        <w:t>Solomou, S., 1998. Economic Cycles: Long Cycles and Business Cycles since 1870. Manchester University Press, Manchester.</w:t>
      </w:r>
    </w:p>
    <w:p w14:paraId="6E38358A" w14:textId="77777777" w:rsidR="00AF1FC9" w:rsidRPr="00AF1FC9" w:rsidRDefault="00AF1FC9" w:rsidP="00AF1FC9">
      <w:pPr>
        <w:spacing w:after="160"/>
        <w:ind w:left="720" w:hanging="720"/>
        <w:rPr>
          <w:lang w:val="en-US"/>
        </w:rPr>
      </w:pPr>
      <w:r>
        <w:rPr>
          <w:lang w:val="en-US"/>
        </w:rPr>
        <w:t>Stock, J.H., Watson, M.W., 1989. New indexes of coincident and leading economic indicators, in: Blanchard, O.J., Fischer, S. (Eds.), NBER Macroeconomics Annual. MIT Press, Cambridge, MA, pp. 352–394.</w:t>
      </w:r>
    </w:p>
    <w:p w14:paraId="7D6ADC60" w14:textId="77777777" w:rsidR="00AF1FC9" w:rsidRPr="00AF1FC9" w:rsidRDefault="00AF1FC9" w:rsidP="00AF1FC9">
      <w:pPr>
        <w:spacing w:after="160"/>
        <w:ind w:left="720" w:hanging="720"/>
        <w:rPr>
          <w:lang w:val="en-US"/>
        </w:rPr>
      </w:pPr>
      <w:r>
        <w:rPr>
          <w:lang w:val="en-US"/>
        </w:rPr>
        <w:t>Stock, J.H., Watson, M.W., 1998. Business Cycle Fluctuations in US Macroeconomic Time Series. Technical Report, National Bureau of Economic Research, Cambridge, MA.</w:t>
      </w:r>
    </w:p>
    <w:p w14:paraId="079548C9" w14:textId="77777777" w:rsidR="00AF1FC9" w:rsidRPr="00AF1FC9" w:rsidRDefault="00AF1FC9" w:rsidP="00AF1FC9">
      <w:pPr>
        <w:spacing w:after="160"/>
        <w:ind w:left="720" w:hanging="720"/>
        <w:rPr>
          <w:lang w:val="en-US"/>
        </w:rPr>
      </w:pPr>
      <w:r>
        <w:rPr>
          <w:lang w:val="en-US"/>
        </w:rPr>
        <w:t>Strauss, W., Howe, N., 1992. Generations: The History of America's Future, 1584 to 2069. Harper Collins, New York.</w:t>
      </w:r>
    </w:p>
    <w:p w14:paraId="05160EE1" w14:textId="77777777" w:rsidR="00AF1FC9" w:rsidRPr="00AF1FC9" w:rsidRDefault="00AF1FC9" w:rsidP="00AF1FC9">
      <w:pPr>
        <w:spacing w:after="160"/>
        <w:ind w:left="720" w:hanging="720"/>
        <w:rPr>
          <w:lang w:val="en-US"/>
        </w:rPr>
      </w:pPr>
      <w:r>
        <w:rPr>
          <w:lang w:val="en-US"/>
        </w:rPr>
        <w:t>Strauss, W., Howe, N., 2009. The Fourth Turning: What the Cycles of History Tell Us About America's Next Rendezvous with Destiny. Three Rivers Press, New York.</w:t>
      </w:r>
    </w:p>
    <w:p w14:paraId="3A4588A2" w14:textId="77777777" w:rsidR="00AF1FC9" w:rsidRPr="00AF1FC9" w:rsidRDefault="00AF1FC9" w:rsidP="00AF1FC9">
      <w:pPr>
        <w:spacing w:after="160"/>
        <w:ind w:left="720" w:hanging="720"/>
        <w:rPr>
          <w:lang w:val="en-US"/>
        </w:rPr>
      </w:pPr>
      <w:r>
        <w:rPr>
          <w:lang w:val="en-US"/>
        </w:rPr>
        <w:t>Thio, K., 1991. On simultaneous explanation of long and medium-term employment cycles. De Economist 139, 331–357.</w:t>
      </w:r>
    </w:p>
    <w:p w14:paraId="18977FDA" w14:textId="77777777" w:rsidR="00AF1FC9" w:rsidRPr="00AF1FC9" w:rsidRDefault="00AF1FC9" w:rsidP="00AF1FC9">
      <w:pPr>
        <w:spacing w:after="160"/>
        <w:ind w:left="720" w:hanging="720"/>
        <w:rPr>
          <w:lang w:val="en-US"/>
        </w:rPr>
      </w:pPr>
      <w:r>
        <w:rPr>
          <w:lang w:val="en-US"/>
        </w:rPr>
        <w:t>Thompson, G., 2011. Sources of financial sociability: networks, ecological systems or diligent risk preparedness? Journal of Cultural Economy 4, 405–421.</w:t>
      </w:r>
    </w:p>
    <w:p w14:paraId="07108F3D" w14:textId="77777777" w:rsidR="00AF1FC9" w:rsidRDefault="00AF1FC9" w:rsidP="00AF1FC9">
      <w:pPr>
        <w:spacing w:after="160"/>
        <w:ind w:left="720" w:hanging="720"/>
      </w:pPr>
      <w:r>
        <w:rPr>
          <w:lang w:val="en-US"/>
        </w:rPr>
        <w:t xml:space="preserve">Thompson, W.R., 1990. Long waves, technological innovation, and relative decline. </w:t>
      </w:r>
      <w:r>
        <w:t>International Organization 44, 201–233.</w:t>
      </w:r>
    </w:p>
    <w:p w14:paraId="2153BDC0" w14:textId="77777777" w:rsidR="00AF1FC9" w:rsidRDefault="00AF1FC9" w:rsidP="00AF1FC9">
      <w:pPr>
        <w:spacing w:after="160"/>
        <w:ind w:left="720" w:hanging="720"/>
      </w:pPr>
      <w:r>
        <w:t>Tinbergen, J., 1929. Het ekonomiese getij. Sociaal Gids 14, 849–858.</w:t>
      </w:r>
    </w:p>
    <w:p w14:paraId="24A33722" w14:textId="77777777" w:rsidR="00AF1FC9" w:rsidRPr="00AF1FC9" w:rsidRDefault="00AF1FC9" w:rsidP="00AF1FC9">
      <w:pPr>
        <w:spacing w:after="160"/>
        <w:ind w:left="720" w:hanging="720"/>
        <w:rPr>
          <w:lang w:val="en-US"/>
        </w:rPr>
      </w:pPr>
      <w:r>
        <w:lastRenderedPageBreak/>
        <w:t xml:space="preserve">Tinbergen, J., 1939. </w:t>
      </w:r>
      <w:r>
        <w:rPr>
          <w:lang w:val="en-US"/>
        </w:rPr>
        <w:t>Statistical Testing of Business-Cycle Theories, Volume I: A Method and Its Application to Investment Activity. League of Nations, Geneva.</w:t>
      </w:r>
    </w:p>
    <w:p w14:paraId="2486D8AA" w14:textId="77777777" w:rsidR="00AF1FC9" w:rsidRPr="00AF1FC9" w:rsidRDefault="00AF1FC9" w:rsidP="00AF1FC9">
      <w:pPr>
        <w:spacing w:after="160"/>
        <w:ind w:left="720" w:hanging="720"/>
        <w:rPr>
          <w:lang w:val="en-US"/>
        </w:rPr>
      </w:pPr>
      <w:r>
        <w:rPr>
          <w:lang w:val="en-US"/>
        </w:rPr>
        <w:t>Tylecote, A., 1994. Long waves, long cycles, and long swings. Journal of Economic Issues 28, 477–488.</w:t>
      </w:r>
    </w:p>
    <w:p w14:paraId="6432A5E8" w14:textId="77777777" w:rsidR="00AF1FC9" w:rsidRPr="00AF1FC9" w:rsidRDefault="00AF1FC9" w:rsidP="00AF1FC9">
      <w:pPr>
        <w:spacing w:after="160"/>
        <w:ind w:left="720" w:hanging="720"/>
        <w:rPr>
          <w:lang w:val="en-US"/>
        </w:rPr>
      </w:pPr>
      <w:r>
        <w:rPr>
          <w:lang w:val="en-US"/>
        </w:rPr>
        <w:t>Tylecote, A., 2013. The Long Wave in the World Economy: The Current Crisis in Historical Perspective. Routledge, London.</w:t>
      </w:r>
    </w:p>
    <w:p w14:paraId="06139F4F" w14:textId="77777777" w:rsidR="00AF1FC9" w:rsidRPr="00AF1FC9" w:rsidRDefault="00AF1FC9" w:rsidP="00AF1FC9">
      <w:pPr>
        <w:spacing w:after="160"/>
        <w:ind w:left="720" w:hanging="720"/>
        <w:rPr>
          <w:lang w:val="en-US"/>
        </w:rPr>
      </w:pPr>
      <w:r>
        <w:rPr>
          <w:lang w:val="en-US"/>
        </w:rPr>
        <w:t>Van Duijn, J.J., 1983. The Long Wave in Economic Life. Allen &amp; Unwin, London.</w:t>
      </w:r>
    </w:p>
    <w:p w14:paraId="39D34E00" w14:textId="77777777" w:rsidR="00AF1FC9" w:rsidRPr="00AF1FC9" w:rsidRDefault="00AF1FC9" w:rsidP="00AF1FC9">
      <w:pPr>
        <w:spacing w:after="160"/>
        <w:ind w:left="720" w:hanging="720"/>
        <w:rPr>
          <w:lang w:val="en-US"/>
        </w:rPr>
      </w:pPr>
      <w:r>
        <w:rPr>
          <w:lang w:val="en-US"/>
        </w:rPr>
        <w:t>Vianna Franco, M.P., Costa Ribeiro, L., Da Motta e Albuquerque, E., 2021. Beyond random causes: harmonic analysis of business cycles at the Moscow Conjuncture Institute. OSF Preprints. Center for Open Science.</w:t>
      </w:r>
    </w:p>
    <w:p w14:paraId="7A642798" w14:textId="77777777" w:rsidR="00AF1FC9" w:rsidRPr="00AF1FC9" w:rsidRDefault="00AF1FC9" w:rsidP="00AF1FC9">
      <w:pPr>
        <w:spacing w:after="160"/>
        <w:ind w:left="720" w:hanging="720"/>
        <w:rPr>
          <w:lang w:val="en-US"/>
        </w:rPr>
      </w:pPr>
      <w:r>
        <w:rPr>
          <w:lang w:val="en-US"/>
        </w:rPr>
        <w:t>Von Mises, L., 1912. Theorie des Geldes und der Umlaufsmittel. Duncker &amp; Humblot, Munich and Leipzig.</w:t>
      </w:r>
    </w:p>
    <w:p w14:paraId="6F4FEB00" w14:textId="77777777" w:rsidR="00AF1FC9" w:rsidRPr="00EE62B6" w:rsidRDefault="00AF1FC9" w:rsidP="00AF1FC9">
      <w:pPr>
        <w:spacing w:after="160"/>
        <w:ind w:left="720" w:hanging="720"/>
        <w:rPr>
          <w:lang w:val="en-US"/>
        </w:rPr>
      </w:pPr>
      <w:r>
        <w:rPr>
          <w:lang w:val="en-US"/>
        </w:rPr>
        <w:t xml:space="preserve">Wallerstein, I., 1983. The three instances of hegemony in the history of the capitalist world-economy. </w:t>
      </w:r>
      <w:r w:rsidRPr="00EE62B6">
        <w:rPr>
          <w:lang w:val="en-US"/>
        </w:rPr>
        <w:t>International Journal of Comparative Sociology 24, 100–108.</w:t>
      </w:r>
    </w:p>
    <w:p w14:paraId="13562126" w14:textId="001AA2B3" w:rsidR="00040634" w:rsidRPr="00EE62B6" w:rsidRDefault="00713A59">
      <w:pPr>
        <w:pStyle w:val="Kop1"/>
        <w:spacing w:before="320" w:after="160"/>
        <w:rPr>
          <w:lang w:val="en-US"/>
        </w:rPr>
      </w:pPr>
      <w:r w:rsidRPr="00EE62B6">
        <w:rPr>
          <w:lang w:val="en-US"/>
        </w:rPr>
        <w:t>Biography of the authors</w:t>
      </w:r>
    </w:p>
    <w:p w14:paraId="6C17EFA2" w14:textId="28FEF665" w:rsidR="00040634" w:rsidRPr="00EE62B6" w:rsidRDefault="00CA78D5">
      <w:pPr>
        <w:spacing w:after="160"/>
        <w:jc w:val="both"/>
        <w:rPr>
          <w:lang w:val="en-US"/>
        </w:rPr>
      </w:pPr>
      <w:r w:rsidRPr="00EE62B6">
        <w:rPr>
          <w:b/>
          <w:bCs/>
          <w:lang w:val="en-US"/>
        </w:rPr>
        <w:t xml:space="preserve">Prof. </w:t>
      </w:r>
      <w:r w:rsidR="00D7757A">
        <w:rPr>
          <w:b/>
          <w:bCs/>
          <w:lang w:val="en-US"/>
        </w:rPr>
        <w:t xml:space="preserve">dr. </w:t>
      </w:r>
      <w:r w:rsidRPr="00EE62B6">
        <w:rPr>
          <w:b/>
          <w:bCs/>
          <w:lang w:val="en-US"/>
        </w:rPr>
        <w:t xml:space="preserve">Bert de Groot </w:t>
      </w:r>
      <w:r w:rsidRPr="00EE62B6">
        <w:rPr>
          <w:lang w:val="en-US"/>
        </w:rPr>
        <w:t xml:space="preserve">is Professor at the Erasmus School of Economics, Erasmus University Rotterdam. </w:t>
      </w:r>
      <w:r w:rsidR="00E72F0F" w:rsidRPr="00EE62B6">
        <w:rPr>
          <w:lang w:val="en-US"/>
        </w:rPr>
        <w:t>Former CEO of Erasmus University Rotterdam Holding B.V.</w:t>
      </w:r>
      <w:r w:rsidR="00E72F0F">
        <w:rPr>
          <w:lang w:val="en-US"/>
        </w:rPr>
        <w:t xml:space="preserve"> </w:t>
      </w:r>
      <w:r w:rsidRPr="00EE62B6">
        <w:rPr>
          <w:lang w:val="en-US"/>
        </w:rPr>
        <w:t xml:space="preserve">Former CFO and member of the Executive Board of Randstad Holding N.V. Rector Magnificus Emeritus of </w:t>
      </w:r>
      <w:proofErr w:type="spellStart"/>
      <w:r w:rsidRPr="00EE62B6">
        <w:rPr>
          <w:lang w:val="en-US"/>
        </w:rPr>
        <w:t>Nyenrode</w:t>
      </w:r>
      <w:proofErr w:type="spellEnd"/>
      <w:r w:rsidRPr="00EE62B6">
        <w:rPr>
          <w:lang w:val="en-US"/>
        </w:rPr>
        <w:t xml:space="preserve"> Business University. </w:t>
      </w:r>
    </w:p>
    <w:p w14:paraId="3D6A82B7" w14:textId="2E1E6B61" w:rsidR="00B83E1D" w:rsidRPr="00EE62B6" w:rsidRDefault="00CA78D5" w:rsidP="00B83E1D">
      <w:pPr>
        <w:pStyle w:val="Normaalweb"/>
        <w:rPr>
          <w:rFonts w:ascii="Calibri" w:hAnsi="Calibri" w:cs="Calibri"/>
          <w:sz w:val="22"/>
          <w:szCs w:val="22"/>
          <w:lang w:val="en-US"/>
        </w:rPr>
      </w:pPr>
      <w:r w:rsidRPr="00EE62B6">
        <w:rPr>
          <w:rFonts w:ascii="Calibri" w:hAnsi="Calibri" w:cs="Calibri"/>
          <w:b/>
          <w:bCs/>
          <w:sz w:val="22"/>
          <w:szCs w:val="22"/>
          <w:lang w:val="en-US"/>
        </w:rPr>
        <w:t xml:space="preserve">Dr. Rene Segers </w:t>
      </w:r>
      <w:r w:rsidRPr="00EE62B6">
        <w:rPr>
          <w:rFonts w:ascii="Calibri" w:hAnsi="Calibri" w:cs="Calibri"/>
          <w:sz w:val="22"/>
          <w:szCs w:val="22"/>
          <w:lang w:val="en-US"/>
        </w:rPr>
        <w:t>is a guest researcher at the Erasmus School of Economics, Erasmus University Rotterdam, and partner at Gibbs Analytics Consulting B.V.</w:t>
      </w:r>
    </w:p>
    <w:p w14:paraId="393A9808" w14:textId="00E28480" w:rsidR="006B27CF" w:rsidRPr="00EC03A0" w:rsidRDefault="006B27CF" w:rsidP="006B27CF">
      <w:pPr>
        <w:spacing w:after="300"/>
        <w:rPr>
          <w:sz w:val="16"/>
          <w:szCs w:val="16"/>
        </w:rPr>
      </w:pPr>
      <w:r w:rsidRPr="00EE62B6">
        <w:rPr>
          <w:i/>
          <w:iCs/>
          <w:sz w:val="16"/>
          <w:szCs w:val="16"/>
          <w:lang w:val="en-US"/>
        </w:rPr>
        <w:t xml:space="preserve">All rights reserved by the authors.  </w:t>
      </w:r>
      <w:r>
        <w:rPr>
          <w:i/>
          <w:iCs/>
          <w:sz w:val="16"/>
          <w:szCs w:val="16"/>
        </w:rPr>
        <w:t xml:space="preserve">© E A de Groot &amp; R Segers </w:t>
      </w:r>
    </w:p>
    <w:p w14:paraId="4C4CCBFD" w14:textId="77777777" w:rsidR="006B27CF" w:rsidRPr="00B83E1D" w:rsidRDefault="006B27CF" w:rsidP="00B83E1D">
      <w:pPr>
        <w:pStyle w:val="Normaalweb"/>
        <w:rPr>
          <w:rFonts w:ascii="Calibri" w:hAnsi="Calibri" w:cs="Calibri"/>
          <w:sz w:val="22"/>
          <w:szCs w:val="22"/>
        </w:rPr>
      </w:pPr>
    </w:p>
    <w:sectPr w:rsidR="006B27CF" w:rsidRPr="00B83E1D">
      <w:footerReference w:type="default" r:id="rId16"/>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E8055" w14:textId="77777777" w:rsidR="00505253" w:rsidRDefault="00505253">
      <w:r>
        <w:separator/>
      </w:r>
    </w:p>
  </w:endnote>
  <w:endnote w:type="continuationSeparator" w:id="0">
    <w:p w14:paraId="1FF647AD" w14:textId="77777777" w:rsidR="00505253" w:rsidRDefault="0050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AF68" w14:textId="394F369B" w:rsidR="00040634" w:rsidRDefault="00713A59" w:rsidP="007B099A">
    <w:pPr>
      <w:pStyle w:val="Lijstalinea"/>
      <w:ind w:left="2880" w:firstLine="720"/>
    </w:pPr>
    <w:r>
      <w:fldChar w:fldCharType="begin"/>
    </w:r>
    <w:r>
      <w:instrText>PAGE</w:instrText>
    </w:r>
    <w:r>
      <w:fldChar w:fldCharType="separate"/>
    </w:r>
    <w:r w:rsidR="0060640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6868B" w14:textId="77777777" w:rsidR="00505253" w:rsidRDefault="00505253">
      <w:r>
        <w:separator/>
      </w:r>
    </w:p>
  </w:footnote>
  <w:footnote w:type="continuationSeparator" w:id="0">
    <w:p w14:paraId="235BB823" w14:textId="77777777" w:rsidR="00505253" w:rsidRDefault="00505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867"/>
    <w:multiLevelType w:val="hybridMultilevel"/>
    <w:tmpl w:val="9F9A4282"/>
    <w:lvl w:ilvl="0" w:tplc="F64A05F4">
      <w:start w:val="5"/>
      <w:numFmt w:val="bullet"/>
      <w:lvlText w:val=""/>
      <w:lvlJc w:val="left"/>
      <w:pPr>
        <w:ind w:left="720" w:hanging="360"/>
      </w:pPr>
      <w:rPr>
        <w:rFonts w:ascii="Symbol" w:eastAsia="Calibri" w:hAnsi="Symbol"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8873748"/>
    <w:multiLevelType w:val="hybridMultilevel"/>
    <w:tmpl w:val="FD24E7EE"/>
    <w:lvl w:ilvl="0" w:tplc="15001698">
      <w:start w:val="1"/>
      <w:numFmt w:val="bullet"/>
      <w:lvlText w:val="•"/>
      <w:lvlJc w:val="left"/>
      <w:pPr>
        <w:ind w:left="360" w:hanging="360"/>
      </w:pPr>
    </w:lvl>
    <w:lvl w:ilvl="1" w:tplc="148CB892">
      <w:numFmt w:val="decimal"/>
      <w:lvlText w:val=""/>
      <w:lvlJc w:val="left"/>
    </w:lvl>
    <w:lvl w:ilvl="2" w:tplc="60867B3C">
      <w:numFmt w:val="decimal"/>
      <w:lvlText w:val=""/>
      <w:lvlJc w:val="left"/>
    </w:lvl>
    <w:lvl w:ilvl="3" w:tplc="20E2D452">
      <w:numFmt w:val="decimal"/>
      <w:lvlText w:val=""/>
      <w:lvlJc w:val="left"/>
    </w:lvl>
    <w:lvl w:ilvl="4" w:tplc="CE2E6D76">
      <w:numFmt w:val="decimal"/>
      <w:lvlText w:val=""/>
      <w:lvlJc w:val="left"/>
    </w:lvl>
    <w:lvl w:ilvl="5" w:tplc="D996E90E">
      <w:numFmt w:val="decimal"/>
      <w:lvlText w:val=""/>
      <w:lvlJc w:val="left"/>
    </w:lvl>
    <w:lvl w:ilvl="6" w:tplc="5456C7D4">
      <w:numFmt w:val="decimal"/>
      <w:lvlText w:val=""/>
      <w:lvlJc w:val="left"/>
    </w:lvl>
    <w:lvl w:ilvl="7" w:tplc="9932BEBE">
      <w:numFmt w:val="decimal"/>
      <w:lvlText w:val=""/>
      <w:lvlJc w:val="left"/>
    </w:lvl>
    <w:lvl w:ilvl="8" w:tplc="0A5A73CA">
      <w:numFmt w:val="decimal"/>
      <w:lvlText w:val=""/>
      <w:lvlJc w:val="left"/>
    </w:lvl>
  </w:abstractNum>
  <w:abstractNum w:abstractNumId="2" w15:restartNumberingAfterBreak="0">
    <w:nsid w:val="4BA53E7C"/>
    <w:multiLevelType w:val="hybridMultilevel"/>
    <w:tmpl w:val="0F5CA2D2"/>
    <w:lvl w:ilvl="0" w:tplc="D3E82C50">
      <w:start w:val="1"/>
      <w:numFmt w:val="bullet"/>
      <w:lvlText w:val="●"/>
      <w:lvlJc w:val="left"/>
      <w:pPr>
        <w:ind w:left="720" w:hanging="360"/>
      </w:pPr>
    </w:lvl>
    <w:lvl w:ilvl="1" w:tplc="6066A2B4">
      <w:start w:val="1"/>
      <w:numFmt w:val="bullet"/>
      <w:lvlText w:val="○"/>
      <w:lvlJc w:val="left"/>
      <w:pPr>
        <w:ind w:left="1440" w:hanging="360"/>
      </w:pPr>
    </w:lvl>
    <w:lvl w:ilvl="2" w:tplc="69100E32">
      <w:start w:val="1"/>
      <w:numFmt w:val="bullet"/>
      <w:lvlText w:val="■"/>
      <w:lvlJc w:val="left"/>
      <w:pPr>
        <w:ind w:left="2160" w:hanging="360"/>
      </w:pPr>
    </w:lvl>
    <w:lvl w:ilvl="3" w:tplc="0F34AEC8">
      <w:start w:val="1"/>
      <w:numFmt w:val="bullet"/>
      <w:lvlText w:val="●"/>
      <w:lvlJc w:val="left"/>
      <w:pPr>
        <w:ind w:left="2880" w:hanging="360"/>
      </w:pPr>
    </w:lvl>
    <w:lvl w:ilvl="4" w:tplc="B024C8B8">
      <w:start w:val="1"/>
      <w:numFmt w:val="bullet"/>
      <w:lvlText w:val="○"/>
      <w:lvlJc w:val="left"/>
      <w:pPr>
        <w:ind w:left="3600" w:hanging="360"/>
      </w:pPr>
    </w:lvl>
    <w:lvl w:ilvl="5" w:tplc="F53E05B2">
      <w:start w:val="1"/>
      <w:numFmt w:val="bullet"/>
      <w:lvlText w:val="■"/>
      <w:lvlJc w:val="left"/>
      <w:pPr>
        <w:ind w:left="4320" w:hanging="360"/>
      </w:pPr>
    </w:lvl>
    <w:lvl w:ilvl="6" w:tplc="016A957C">
      <w:start w:val="1"/>
      <w:numFmt w:val="bullet"/>
      <w:lvlText w:val="●"/>
      <w:lvlJc w:val="left"/>
      <w:pPr>
        <w:ind w:left="5040" w:hanging="360"/>
      </w:pPr>
    </w:lvl>
    <w:lvl w:ilvl="7" w:tplc="4A60D2F8">
      <w:start w:val="1"/>
      <w:numFmt w:val="bullet"/>
      <w:lvlText w:val="●"/>
      <w:lvlJc w:val="left"/>
      <w:pPr>
        <w:ind w:left="5760" w:hanging="360"/>
      </w:pPr>
    </w:lvl>
    <w:lvl w:ilvl="8" w:tplc="21701C06">
      <w:start w:val="1"/>
      <w:numFmt w:val="bullet"/>
      <w:lvlText w:val="●"/>
      <w:lvlJc w:val="left"/>
      <w:pPr>
        <w:ind w:left="6480" w:hanging="360"/>
      </w:pPr>
    </w:lvl>
  </w:abstractNum>
  <w:abstractNum w:abstractNumId="3" w15:restartNumberingAfterBreak="0">
    <w:nsid w:val="63E81164"/>
    <w:multiLevelType w:val="hybridMultilevel"/>
    <w:tmpl w:val="F88E2A00"/>
    <w:lvl w:ilvl="0" w:tplc="3676C9AA">
      <w:start w:val="5"/>
      <w:numFmt w:val="bullet"/>
      <w:lvlText w:val=""/>
      <w:lvlJc w:val="left"/>
      <w:pPr>
        <w:ind w:left="1080" w:hanging="360"/>
      </w:pPr>
      <w:rPr>
        <w:rFonts w:ascii="Symbol" w:eastAsia="Calibri" w:hAnsi="Symbol" w:cs="Calibri"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6B945506"/>
    <w:multiLevelType w:val="hybridMultilevel"/>
    <w:tmpl w:val="B792EC68"/>
    <w:lvl w:ilvl="0" w:tplc="6DEA0CF6">
      <w:start w:val="5"/>
      <w:numFmt w:val="bullet"/>
      <w:lvlText w:val=""/>
      <w:lvlJc w:val="left"/>
      <w:pPr>
        <w:ind w:left="720" w:hanging="360"/>
      </w:pPr>
      <w:rPr>
        <w:rFonts w:ascii="Symbol" w:eastAsia="Calibri" w:hAnsi="Symbol"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28494307">
    <w:abstractNumId w:val="2"/>
    <w:lvlOverride w:ilvl="0">
      <w:startOverride w:val="1"/>
    </w:lvlOverride>
  </w:num>
  <w:num w:numId="2" w16cid:durableId="1919291899">
    <w:abstractNumId w:val="1"/>
    <w:lvlOverride w:ilvl="0">
      <w:startOverride w:val="1"/>
    </w:lvlOverride>
  </w:num>
  <w:num w:numId="3" w16cid:durableId="924412499">
    <w:abstractNumId w:val="4"/>
  </w:num>
  <w:num w:numId="4" w16cid:durableId="660885496">
    <w:abstractNumId w:val="3"/>
  </w:num>
  <w:num w:numId="5" w16cid:durableId="687681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634"/>
    <w:rsid w:val="0001678D"/>
    <w:rsid w:val="00040449"/>
    <w:rsid w:val="00040634"/>
    <w:rsid w:val="0016623A"/>
    <w:rsid w:val="00175D97"/>
    <w:rsid w:val="001C1F7B"/>
    <w:rsid w:val="001C5C45"/>
    <w:rsid w:val="00204E35"/>
    <w:rsid w:val="00221745"/>
    <w:rsid w:val="00280250"/>
    <w:rsid w:val="002A4A26"/>
    <w:rsid w:val="002C1AF4"/>
    <w:rsid w:val="002C225D"/>
    <w:rsid w:val="002F32ED"/>
    <w:rsid w:val="00331FF8"/>
    <w:rsid w:val="00371AA7"/>
    <w:rsid w:val="003764F7"/>
    <w:rsid w:val="00384375"/>
    <w:rsid w:val="003A2963"/>
    <w:rsid w:val="003E1FE6"/>
    <w:rsid w:val="003E3C19"/>
    <w:rsid w:val="00456C8D"/>
    <w:rsid w:val="004657F7"/>
    <w:rsid w:val="00466730"/>
    <w:rsid w:val="004C5305"/>
    <w:rsid w:val="004D1A7D"/>
    <w:rsid w:val="004F61C6"/>
    <w:rsid w:val="00505253"/>
    <w:rsid w:val="00552862"/>
    <w:rsid w:val="005836D9"/>
    <w:rsid w:val="005D7CF8"/>
    <w:rsid w:val="005F1DA2"/>
    <w:rsid w:val="0060640F"/>
    <w:rsid w:val="00634424"/>
    <w:rsid w:val="0064053B"/>
    <w:rsid w:val="00646DFA"/>
    <w:rsid w:val="0066793F"/>
    <w:rsid w:val="006832DE"/>
    <w:rsid w:val="00694EFC"/>
    <w:rsid w:val="006B08CC"/>
    <w:rsid w:val="006B27CF"/>
    <w:rsid w:val="00713A59"/>
    <w:rsid w:val="007279A5"/>
    <w:rsid w:val="00740B54"/>
    <w:rsid w:val="0076632C"/>
    <w:rsid w:val="007B099A"/>
    <w:rsid w:val="007C39B6"/>
    <w:rsid w:val="0086737B"/>
    <w:rsid w:val="00893F9B"/>
    <w:rsid w:val="008D3A24"/>
    <w:rsid w:val="008D4214"/>
    <w:rsid w:val="00922B82"/>
    <w:rsid w:val="009D193C"/>
    <w:rsid w:val="009D1FCF"/>
    <w:rsid w:val="009E3588"/>
    <w:rsid w:val="009E7D8F"/>
    <w:rsid w:val="009F649A"/>
    <w:rsid w:val="00A14C1D"/>
    <w:rsid w:val="00A279C8"/>
    <w:rsid w:val="00A46E91"/>
    <w:rsid w:val="00A954A4"/>
    <w:rsid w:val="00AC6A76"/>
    <w:rsid w:val="00AF1FC9"/>
    <w:rsid w:val="00B036D7"/>
    <w:rsid w:val="00B259FC"/>
    <w:rsid w:val="00B42BC8"/>
    <w:rsid w:val="00B462F6"/>
    <w:rsid w:val="00B66B6A"/>
    <w:rsid w:val="00B6756D"/>
    <w:rsid w:val="00B7092E"/>
    <w:rsid w:val="00B7730E"/>
    <w:rsid w:val="00B83E1D"/>
    <w:rsid w:val="00B91419"/>
    <w:rsid w:val="00BA5089"/>
    <w:rsid w:val="00BB04C4"/>
    <w:rsid w:val="00BD0316"/>
    <w:rsid w:val="00C31451"/>
    <w:rsid w:val="00C42851"/>
    <w:rsid w:val="00C43A05"/>
    <w:rsid w:val="00C97307"/>
    <w:rsid w:val="00CA6ECA"/>
    <w:rsid w:val="00CA78D5"/>
    <w:rsid w:val="00D14992"/>
    <w:rsid w:val="00D17A8E"/>
    <w:rsid w:val="00D27642"/>
    <w:rsid w:val="00D53B40"/>
    <w:rsid w:val="00D7757A"/>
    <w:rsid w:val="00D9662C"/>
    <w:rsid w:val="00DC0E6F"/>
    <w:rsid w:val="00E12704"/>
    <w:rsid w:val="00E51D33"/>
    <w:rsid w:val="00E5251D"/>
    <w:rsid w:val="00E564FF"/>
    <w:rsid w:val="00E72F0F"/>
    <w:rsid w:val="00E758C3"/>
    <w:rsid w:val="00E7630C"/>
    <w:rsid w:val="00E90BA5"/>
    <w:rsid w:val="00E97D12"/>
    <w:rsid w:val="00EA4752"/>
    <w:rsid w:val="00EC03A0"/>
    <w:rsid w:val="00EE62B6"/>
    <w:rsid w:val="00F00EC5"/>
    <w:rsid w:val="00F2226C"/>
    <w:rsid w:val="00F37FE4"/>
    <w:rsid w:val="00F44DDD"/>
    <w:rsid w:val="00F70612"/>
    <w:rsid w:val="00F719E9"/>
    <w:rsid w:val="00F723E6"/>
    <w:rsid w:val="00F7615C"/>
    <w:rsid w:val="00F930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C0254"/>
  <w15:docId w15:val="{76B83F79-2FEB-4F90-9440-7ABAA9BD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Strong1">
    <w:name w:val="Strong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Normaalweb">
    <w:name w:val="Normal (Web)"/>
    <w:basedOn w:val="Standaard"/>
    <w:uiPriority w:val="99"/>
    <w:unhideWhenUsed/>
    <w:rsid w:val="00893F9B"/>
    <w:pPr>
      <w:spacing w:before="100" w:beforeAutospacing="1" w:after="100" w:afterAutospacing="1"/>
    </w:pPr>
    <w:rPr>
      <w:rFonts w:ascii="Times New Roman" w:eastAsia="Times New Roman" w:hAnsi="Times New Roman" w:cs="Times New Roman"/>
      <w:sz w:val="24"/>
      <w:szCs w:val="24"/>
    </w:rPr>
  </w:style>
  <w:style w:type="paragraph" w:styleId="Koptekst">
    <w:name w:val="header"/>
    <w:basedOn w:val="Standaard"/>
    <w:link w:val="KoptekstChar"/>
    <w:uiPriority w:val="99"/>
    <w:unhideWhenUsed/>
    <w:rsid w:val="0064053B"/>
    <w:pPr>
      <w:tabs>
        <w:tab w:val="center" w:pos="4536"/>
        <w:tab w:val="right" w:pos="9072"/>
      </w:tabs>
    </w:pPr>
  </w:style>
  <w:style w:type="character" w:customStyle="1" w:styleId="KoptekstChar">
    <w:name w:val="Koptekst Char"/>
    <w:basedOn w:val="Standaardalinea-lettertype"/>
    <w:link w:val="Koptekst"/>
    <w:uiPriority w:val="99"/>
    <w:rsid w:val="0064053B"/>
  </w:style>
  <w:style w:type="paragraph" w:styleId="Voettekst">
    <w:name w:val="footer"/>
    <w:basedOn w:val="Standaard"/>
    <w:link w:val="VoettekstChar"/>
    <w:uiPriority w:val="99"/>
    <w:unhideWhenUsed/>
    <w:rsid w:val="0064053B"/>
    <w:pPr>
      <w:tabs>
        <w:tab w:val="center" w:pos="4536"/>
        <w:tab w:val="right" w:pos="9072"/>
      </w:tabs>
    </w:pPr>
  </w:style>
  <w:style w:type="character" w:customStyle="1" w:styleId="VoettekstChar">
    <w:name w:val="Voettekst Char"/>
    <w:basedOn w:val="Standaardalinea-lettertype"/>
    <w:link w:val="Voettekst"/>
    <w:uiPriority w:val="99"/>
    <w:rsid w:val="0064053B"/>
  </w:style>
  <w:style w:type="character" w:styleId="Onopgelostemelding">
    <w:name w:val="Unresolved Mention"/>
    <w:basedOn w:val="Standaardalinea-lettertype"/>
    <w:uiPriority w:val="99"/>
    <w:semiHidden/>
    <w:unhideWhenUsed/>
    <w:rsid w:val="00B70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CF036-D913-475E-BB01-CFBA5CEBF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6721</Words>
  <Characters>36968</Characters>
  <Application>Microsoft Office Word</Application>
  <DocSecurity>0</DocSecurity>
  <Lines>308</Lines>
  <Paragraphs>87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Bert De Groot</cp:lastModifiedBy>
  <cp:revision>2</cp:revision>
  <cp:lastPrinted>2026-08-27T16:28:00Z</cp:lastPrinted>
  <dcterms:created xsi:type="dcterms:W3CDTF">2026-09-24T07:35:00Z</dcterms:created>
  <dcterms:modified xsi:type="dcterms:W3CDTF">2026-09-24T07:35:00Z</dcterms:modified>
</cp:coreProperties>
</file>